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9457d80a84fd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31286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VINICA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1.423.928,21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1.872.119,21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900.141,19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1.299.326,94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523.787,02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572.792,27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268.619,98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446.729,27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266.047,04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444.223,13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257.739,98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128.569,14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ovom izvještajnom razdoblju ukupni prihodi poslovanja ostvareni su u iznosu od 1.872.119,21 Eur. Najznačajnije povećanje prihoda odnosi se na povećanje prihoda od poreza na dohodak radi povećanja plaća, povećanja prihoda od poreza na nekretnina radi većih cijena nekretnina i većeg broja kupoprodaja te veća realizacija prihoda od kapitalnih pomoći iz državnog proračuna. Rashodi poslovanja ostvareni su u iznosu od 1.299.326,94 Eur, a povećanja ovih rashoda odnese se na povećanja rashoda za zaposlene radi povećanja koef. i osnovice za obračun plaća, veće iznose prijenosa proračunskom korisniku DV Vinica radi povećanja ekonomske cijene vrtića, povećanja cijena robe i usluga i dr.
Prihodi od prodaje nefinancijske imovine odnose se na obročnu otplatu stanova , a ostalih prihoda ovog razreda nije bilo, dok su rashodi za nabavu nefinancijske imovine ostvareni u iznosu od 446.729,27 Eur radi povećanja broja realiziranih projekata, ulaganja u računalne programe, nabavu zemljišta radi planiranih novih projekata na istima i dr.
U ovom razdoblju ostvareni je višak prihoda nad rashodima u iznosu od 128.569,14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960.639,48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1.107.099,01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veći su za 15,2% u odnosu na usporedno razdoblje, a razlog povećanja leži u rastu plaća u sektorima u kojima su zaposleni mještani s područja Općine Vinica. Evidentno je i povećanje poreza na imovinu (veće za 107,1%), a mogući razlozi su: povećani broj kupoprodaja nekretnina na našem području, kao i povećanje cijena nekretnina. Veći je i prihod od poreza na robu i usluge radi povećanja kupovne moći potrošača te rasta prometa pružatelja ugostiteljskih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326.860,14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684.107,58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Ovi prihodi veći su za 109,3 % u odnosu na usporedno razdoblje, a razlozi su: veći broj realiziranih projekata i veći iznos bespovratnih sredstava po prijavljenim projektima (Sportski centar  Vinica - nogometno igralište 226.180,00 Eur, Sanacije opasnih mjesta, obilježavanje pješačkih prijelaza  na ŽC2029 39.905,00 Eur, Održavanje i uređenje nogostupa Marčan-Vinica 23.900,00 Eur, Program Zaželi (u partnerstvu s Općinom Bednja) 22.085,30 Eur). Također su ostvareni i veći iznosi Pomoći fiskalnog izravnanja i fiskalne održivosti dječjih vrtića-ukupno 349.793,05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37.542,73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7.957,61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ove vrste manje su jer ove godine nije bilo primljenih kapitalnih donacija.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132.599,06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192.302,44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veći su u odnosu na usporedno razdoblje za 45 % radi povećanja koeficijenata i osnovice za obračun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366.840,73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549.223,47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Uspoređujući s proteklim razdobljem ovi rashodi su veći uglavnom radi povećanja cijena materijala,  nabave potrebnog materijala za održavanje lokalnih izbora, zamjene dijelova na solarnoj elektrani i nabave zavjesa za uređeni dio općinske zgrade.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(šifre 351+352+353)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14.184,42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31.416,88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ove vrste ovise o broju podnesenih zahtjeva koji udovoljavaju kriterijima za dodjelu subvencije, a u ovom izvještajnom razdoblju podneseno je 7 zahtjeva više nego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215.874,20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294.769,76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ove vrste veći su za 36,5 % u odnosu na usporedno razdoblje, a razlog povećanju u najvećoj mjeri leži u povećanju prijenosa sredstava proračunskom korisniku DV Vinica radi povećanja postotnog iznosa u participaciji ekonomske cijene (70%) i povećanje ekonomske cijene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55.477,92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76.628,27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ove vrste rashodi odnosi se na veće iznose novčanih potpora studentima, većeg iznosa isplaćenih jednokratnih naknada umirovljenicima povodom uskrsnih blagdana radi promjene kriterija za dodjelu i pomoći jednoj obitelji u vidu postavljanja kućice za stanovanje i stavljanja u funkciju iste.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113.281,33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152.380,59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Uglavnom se povećanje od 34,5 % ove vrste rashoda odnosi na veće iznose dodjeljenih sredstava udrugama, nastavak projekta Aglomeracija i dr.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neproizvedene dugotrajne imovine (šifre 411+412)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24.424,96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218.131,71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ove skupine odnose se na kupnju zemljišta radi novih planiranih projekata ( u iznosu od 75.901,51 Eur) kao i realizaciju projekata: Sanacija opasnih mjesta obilježavanje pješačkih prijelaza na ŽC2029 u iznosu od 79.232,70 Eur, Održavanje i uređenje nogostupa od Marčana do Vinice u iznosu od 62.997,50 Eur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208.490,02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139.391,76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ove skupine odnose se na realizirani projekt Pješačko, biciklističko prometni poligon na SC Vinica u iznosu od 72.225,63 Eur, Dječja igrala za DV Vinica u iznosu od 17.674,13 Eur. Također je u ovom razdoblju nadograđen računalni program, nabavljeno računalo, oprema za općinske objekte i dr.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35.705,00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89.205,80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ovom izvještajnom razdoblju realiziran je projekt adaptacije prostora Koke u iznosu 62.030,80 Eur, a  nabavljena je i projektno tehničke dokumentacija te stručni nadzor za navedene radove.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103.844,41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 ukupno iskazanih dospjelih obveza na kraju izvještajnog razdoblja veći dio se odnosi na obveze vezane uz radove na nogostupu, a koji je još uvijek u tijeku. Navedene obveze biti će podmirene, prateći dinamiku izvršenja i realizacije projekta.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115.964,09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Evidentno je da se stanje nedospjelih obveza odnosi se na obveze za zaposlene 22.864,62Eur i obvezu za uređaje, strojeve i opremu za ostale namjene 17.674,13 Eur te obveze za prijenos OŠ Vinica za nabavu radnih materijala za učenike Oš 20.440,91 Eur. Ostale nedospjele obveze trenutno utvrđujemo, obzirom da je u tijeku usklađivanje i utvrđivanje razlike između iskazanih obveza u GK i u analitici.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7551c8acfc41d6" /></Relationships>
</file>