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0" wp14:anchorId="52059BAA" wp14:editId="3C319735">
            <wp:simplePos x="0" y="0"/>
            <wp:positionH relativeFrom="column">
              <wp:posOffset>99695</wp:posOffset>
            </wp:positionH>
            <wp:positionV relativeFrom="paragraph">
              <wp:posOffset>-247650</wp:posOffset>
            </wp:positionV>
            <wp:extent cx="428625" cy="561975"/>
            <wp:effectExtent l="0" t="0" r="9525" b="9525"/>
            <wp:wrapTight wrapText="bothSides">
              <wp:wrapPolygon edited="0">
                <wp:start x="3840" y="0"/>
                <wp:lineTo x="0" y="0"/>
                <wp:lineTo x="0" y="15376"/>
                <wp:lineTo x="2880" y="21234"/>
                <wp:lineTo x="4800" y="21234"/>
                <wp:lineTo x="16320" y="21234"/>
                <wp:lineTo x="18240" y="21234"/>
                <wp:lineTo x="21120" y="15376"/>
                <wp:lineTo x="21120" y="0"/>
                <wp:lineTo x="17280" y="0"/>
                <wp:lineTo x="3840" y="0"/>
              </wp:wrapPolygon>
            </wp:wrapTight>
            <wp:docPr id="1" name="Slika 1" descr="Datoteka:Coat of arms of Croatia.svg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teka:Coat of arms of Croatia.svg – Wikipedij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>VARAŽDINSKA ŽUPANIJA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 xml:space="preserve">OPĆINA VINICA                                         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RAZINA: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23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Naziv obveznika: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RKP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31286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OPĆINA VINICA </w:t>
      </w:r>
    </w:p>
    <w:p w:rsidR="00EB02E1" w:rsidRPr="00D17D16" w:rsidRDefault="00C561C4" w:rsidP="00C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OIB: 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19913793314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:rsidR="00C561C4" w:rsidRDefault="00C561C4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173" w:rsidRDefault="007E4173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173" w:rsidRDefault="007E4173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173" w:rsidRDefault="007E4173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1C4" w:rsidRDefault="00C561C4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70F" w:rsidRPr="00D17D16" w:rsidRDefault="0045770F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D16">
        <w:rPr>
          <w:rFonts w:ascii="Times New Roman" w:hAnsi="Times New Roman"/>
          <w:b/>
          <w:sz w:val="24"/>
          <w:szCs w:val="24"/>
        </w:rPr>
        <w:t>BILJEŠKE</w:t>
      </w:r>
    </w:p>
    <w:p w:rsidR="0045770F" w:rsidRPr="00D17D16" w:rsidRDefault="0045770F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D16">
        <w:rPr>
          <w:rFonts w:ascii="Times New Roman" w:hAnsi="Times New Roman"/>
          <w:b/>
          <w:sz w:val="24"/>
          <w:szCs w:val="24"/>
        </w:rPr>
        <w:t xml:space="preserve">UZ  </w:t>
      </w:r>
      <w:r>
        <w:rPr>
          <w:rFonts w:ascii="Times New Roman" w:hAnsi="Times New Roman"/>
          <w:b/>
          <w:sz w:val="24"/>
          <w:szCs w:val="24"/>
        </w:rPr>
        <w:t xml:space="preserve">KONSOLIDIRANE </w:t>
      </w:r>
      <w:r w:rsidRPr="00D17D16">
        <w:rPr>
          <w:rFonts w:ascii="Times New Roman" w:hAnsi="Times New Roman"/>
          <w:b/>
          <w:sz w:val="24"/>
          <w:szCs w:val="24"/>
        </w:rPr>
        <w:t xml:space="preserve">FINANCIJSKE IZVJEŠTAJE ZA </w:t>
      </w:r>
      <w:proofErr w:type="spellStart"/>
      <w:r w:rsidRPr="00D17D16">
        <w:rPr>
          <w:rFonts w:ascii="Times New Roman" w:hAnsi="Times New Roman"/>
          <w:b/>
          <w:sz w:val="24"/>
          <w:szCs w:val="24"/>
        </w:rPr>
        <w:t>202</w:t>
      </w:r>
      <w:r w:rsidR="00BA3375">
        <w:rPr>
          <w:rFonts w:ascii="Times New Roman" w:hAnsi="Times New Roman"/>
          <w:b/>
          <w:sz w:val="24"/>
          <w:szCs w:val="24"/>
        </w:rPr>
        <w:t>4</w:t>
      </w:r>
      <w:proofErr w:type="spellEnd"/>
      <w:r w:rsidRPr="00D17D16">
        <w:rPr>
          <w:rFonts w:ascii="Times New Roman" w:hAnsi="Times New Roman"/>
          <w:b/>
          <w:sz w:val="24"/>
          <w:szCs w:val="24"/>
        </w:rPr>
        <w:t>. GODINU</w:t>
      </w:r>
    </w:p>
    <w:p w:rsidR="0045770F" w:rsidRPr="00D17D16" w:rsidRDefault="0045770F" w:rsidP="0045770F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770F" w:rsidRPr="00D17D16" w:rsidRDefault="0045770F" w:rsidP="0045770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770F" w:rsidRPr="00897449" w:rsidRDefault="0045770F" w:rsidP="0045770F">
      <w:pPr>
        <w:pStyle w:val="Bezproreda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97449">
        <w:rPr>
          <w:rFonts w:ascii="Times New Roman" w:hAnsi="Times New Roman" w:cs="Times New Roman"/>
          <w:sz w:val="24"/>
          <w:szCs w:val="24"/>
        </w:rPr>
        <w:t xml:space="preserve">Proces konsolidacije, priprema i predaja konsolidiranih financijskih izvješća propisani su Zakonom o proračunu („Narodne novine“ broj </w:t>
      </w:r>
      <w:r w:rsidR="00327B73">
        <w:rPr>
          <w:rFonts w:ascii="Times New Roman" w:hAnsi="Times New Roman" w:cs="Times New Roman"/>
          <w:sz w:val="24"/>
          <w:szCs w:val="24"/>
        </w:rPr>
        <w:t>144/21</w:t>
      </w:r>
      <w:r w:rsidRPr="00897449">
        <w:rPr>
          <w:rFonts w:ascii="Times New Roman" w:hAnsi="Times New Roman" w:cs="Times New Roman"/>
          <w:sz w:val="24"/>
          <w:szCs w:val="24"/>
        </w:rPr>
        <w:t>) te Pravilnikom o financijskom izvještavanju u proračunskom računovodstvu („Narodne novine“ broj 3/15, 93/15, 135/15, 2/17, 28/17, 112/18,126/19, 145/20, 32/21 i 144/21). Pripadnost proračunskih korisnika određenom proračunu utvrđena je Pravilnikom o utvrđivanju proračunskih i izvanproračunskih korisnika državnog i proračunskih i izvanproračunskih korisnika proračuna JLIP(R) samouprave te o načinu vođenja registra proračunskih i izvanproračunskih korisnika („Narodne novine“ broj 128/09, 142/14, 23/19, 83/21 i 144/21).</w:t>
      </w:r>
    </w:p>
    <w:p w:rsidR="0045770F" w:rsidRPr="00897449" w:rsidRDefault="00C561C4" w:rsidP="0045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ima je</w:t>
      </w:r>
      <w:r w:rsidR="00BA3375">
        <w:rPr>
          <w:rFonts w:ascii="Times New Roman" w:hAnsi="Times New Roman"/>
          <w:sz w:val="24"/>
          <w:szCs w:val="24"/>
        </w:rPr>
        <w:t>dnog proračunskog korisnika,</w:t>
      </w:r>
      <w:r>
        <w:rPr>
          <w:rFonts w:ascii="Times New Roman" w:hAnsi="Times New Roman"/>
          <w:sz w:val="24"/>
          <w:szCs w:val="24"/>
        </w:rPr>
        <w:t xml:space="preserve"> Dječji vrtić Vinica</w:t>
      </w:r>
      <w:r w:rsidR="0045770F" w:rsidRPr="00897449">
        <w:rPr>
          <w:rFonts w:ascii="Times New Roman" w:hAnsi="Times New Roman"/>
          <w:sz w:val="24"/>
          <w:szCs w:val="24"/>
        </w:rPr>
        <w:t>. U konsolidiranom financijskom izvj</w:t>
      </w:r>
      <w:r>
        <w:rPr>
          <w:rFonts w:ascii="Times New Roman" w:hAnsi="Times New Roman"/>
          <w:sz w:val="24"/>
          <w:szCs w:val="24"/>
        </w:rPr>
        <w:t>eštaju prikazuje se poslovanje Općine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zajedno sa njenim ko</w:t>
      </w:r>
      <w:r>
        <w:rPr>
          <w:rFonts w:ascii="Times New Roman" w:hAnsi="Times New Roman"/>
          <w:sz w:val="24"/>
          <w:szCs w:val="24"/>
        </w:rPr>
        <w:t>risnikom dječjim vrtićom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na način da se sagledaju kao jedna jedinstvena cjelina.</w:t>
      </w:r>
      <w:r w:rsidR="007735C0">
        <w:rPr>
          <w:rFonts w:ascii="Times New Roman" w:hAnsi="Times New Roman"/>
          <w:sz w:val="24"/>
          <w:szCs w:val="24"/>
        </w:rPr>
        <w:t xml:space="preserve"> </w:t>
      </w:r>
    </w:p>
    <w:p w:rsidR="0045770F" w:rsidRPr="00897449" w:rsidRDefault="0045770F" w:rsidP="0045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70F" w:rsidRPr="00D17D16" w:rsidRDefault="0045770F" w:rsidP="00AF3A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449">
        <w:rPr>
          <w:rFonts w:ascii="Times New Roman" w:hAnsi="Times New Roman"/>
          <w:sz w:val="24"/>
          <w:szCs w:val="24"/>
        </w:rPr>
        <w:t>U procesu konsolidacije eliminirani su prihodi iskazani kod proračunskog korisnika na kontu 671 Prihodi iz nadležnog proračuna za financiranje redovne djelatnosti proračunskih korisnik</w:t>
      </w:r>
      <w:r w:rsidR="00C561C4">
        <w:rPr>
          <w:rFonts w:ascii="Times New Roman" w:hAnsi="Times New Roman"/>
          <w:sz w:val="24"/>
          <w:szCs w:val="24"/>
        </w:rPr>
        <w:t>a te rashodi kod Općine Vinica</w:t>
      </w:r>
      <w:r w:rsidRPr="00897449">
        <w:rPr>
          <w:rFonts w:ascii="Times New Roman" w:hAnsi="Times New Roman"/>
          <w:sz w:val="24"/>
          <w:szCs w:val="24"/>
        </w:rPr>
        <w:t xml:space="preserve"> na kontu 367 Prijenosi proračunskim korisnicima iz nadležnog proračuna za f</w:t>
      </w:r>
      <w:r w:rsidR="00AF3A56">
        <w:rPr>
          <w:rFonts w:ascii="Times New Roman" w:hAnsi="Times New Roman"/>
          <w:sz w:val="24"/>
          <w:szCs w:val="24"/>
        </w:rPr>
        <w:t>inanciranje redovne djelatnosti.</w:t>
      </w:r>
      <w:r w:rsidR="007735C0">
        <w:rPr>
          <w:rFonts w:ascii="Times New Roman" w:hAnsi="Times New Roman"/>
          <w:sz w:val="24"/>
          <w:szCs w:val="24"/>
        </w:rPr>
        <w:t xml:space="preserve"> </w:t>
      </w:r>
    </w:p>
    <w:p w:rsidR="007735C0" w:rsidRDefault="007735C0" w:rsidP="007735C0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Konsolidirani izvještaj od 01.01.2024. do 31.12.2024. godine tako se sastoji od financijskog izvještaja proračunskog korisnika Dječjeg vrtića Vinica kojeg je izradila službenica koja radi na poslovima financija dječjeg vrtića Vinica i financijskog izvještaja Općine Vinica kojeg je izradio službenik na poslovima financija u Općini Vinica do 31.12.2024. godine.</w:t>
      </w:r>
    </w:p>
    <w:p w:rsidR="00327B73" w:rsidRPr="00D17D16" w:rsidRDefault="00327B73" w:rsidP="0045770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43567" w:rsidRPr="00D17D16" w:rsidRDefault="00943567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32642F" w:rsidRDefault="000E14AE" w:rsidP="00D17D16">
      <w:pPr>
        <w:pStyle w:val="Odlomakpopisa"/>
        <w:keepNext/>
        <w:numPr>
          <w:ilvl w:val="0"/>
          <w:numId w:val="12"/>
        </w:numPr>
        <w:suppressAutoHyphens w:val="0"/>
        <w:overflowPunct w:val="0"/>
        <w:autoSpaceDE w:val="0"/>
        <w:autoSpaceDN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</w:pP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lastRenderedPageBreak/>
        <w:t>Bilje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š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ke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uz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Izvje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š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taj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o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prihodima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rashodima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,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primicima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izdacima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 xml:space="preserve"> (</w:t>
      </w:r>
      <w:proofErr w:type="spellStart"/>
      <w:r w:rsidR="00F37422"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Obrazac</w:t>
      </w:r>
      <w:proofErr w:type="spellEnd"/>
      <w:r w:rsidR="00F37422"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 xml:space="preserve">: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PR-RAS)</w:t>
      </w:r>
    </w:p>
    <w:p w:rsidR="00AD7609" w:rsidRPr="0032642F" w:rsidRDefault="00AD7609" w:rsidP="00D17D16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5370" w:rsidRPr="0032642F" w:rsidRDefault="002411AD" w:rsidP="00D17D16">
      <w:pPr>
        <w:keepNext/>
        <w:suppressAutoHyphens w:val="0"/>
        <w:autoSpaceDN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42F">
        <w:rPr>
          <w:rFonts w:ascii="Times New Roman" w:eastAsia="Times New Roman" w:hAnsi="Times New Roman"/>
          <w:sz w:val="24"/>
          <w:szCs w:val="24"/>
          <w:lang w:eastAsia="hr-HR"/>
        </w:rPr>
        <w:t>U bilješkama uz Izvještaj o prihodima i rashodima, primicima i izdacima navode se razlozi značajnijih odstupanja od ostvarenja prethodne godine.</w:t>
      </w:r>
    </w:p>
    <w:p w:rsidR="00261E3C" w:rsidRPr="00601DAB" w:rsidRDefault="00261E3C" w:rsidP="00D17D16">
      <w:pPr>
        <w:keepNext/>
        <w:suppressAutoHyphens w:val="0"/>
        <w:autoSpaceDN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261E3C" w:rsidRPr="005960B8" w:rsidRDefault="00AD7609" w:rsidP="00D17D16">
      <w:pPr>
        <w:pStyle w:val="Odlomakpopisa"/>
        <w:keepNext/>
        <w:numPr>
          <w:ilvl w:val="1"/>
          <w:numId w:val="15"/>
        </w:numPr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</w:t>
      </w:r>
      <w:r w:rsidR="00C96DBA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PRIMICI </w:t>
      </w:r>
    </w:p>
    <w:p w:rsidR="00884FFC" w:rsidRPr="00601DAB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884FFC" w:rsidRPr="005960B8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Bilješka broj 1, </w:t>
      </w:r>
      <w:r w:rsidR="0032642F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>šifra 6</w:t>
      </w:r>
    </w:p>
    <w:p w:rsidR="00884FFC" w:rsidRPr="00601DAB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D7609" w:rsidRPr="005960B8" w:rsidRDefault="00AD7609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>Prihodi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poslovanja</w:t>
      </w:r>
      <w:r w:rsidR="00884FFC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izvještajno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m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>2.181.296,18</w:t>
      </w:r>
      <w:r w:rsidR="001B354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1B3543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>što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je </w:t>
      </w:r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>50,8</w:t>
      </w:r>
      <w:r w:rsidR="007F02BF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A4A09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više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261E3C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prethodnu proračunsku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2958A8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g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odinu</w:t>
      </w:r>
      <w:r w:rsidR="00261E3C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</w:p>
    <w:p w:rsidR="00103DB2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Značajnije razlike u odnosu na isto izvještajno razdoblje prethodne godine, na skupini 61 odnose se na povećanje prih</w:t>
      </w:r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>oda od poreza na dohodak za 45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%,</w:t>
      </w:r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 xml:space="preserve"> povećanje poreza na imovinu (uglavnom porez na promet nekretnina). Evidentno je i povećanje poreza na promet što je rezultat povećanoj prodaji robe koja podliježe ovom oporezivanju (alkoholna i bezalkoholna pića </w:t>
      </w:r>
      <w:proofErr w:type="spellStart"/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>idr</w:t>
      </w:r>
      <w:proofErr w:type="spellEnd"/>
      <w:r w:rsidR="00BA3375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103DB2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računa 63 bilježi </w:t>
      </w:r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povećanje od </w:t>
      </w:r>
      <w:proofErr w:type="spellStart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91</w:t>
      </w:r>
      <w:proofErr w:type="spellEnd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,3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% u odnosu na isto izvještajno razdoblje prethodne godine</w:t>
      </w:r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i iznosi </w:t>
      </w:r>
      <w:proofErr w:type="spellStart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604.257</w:t>
      </w:r>
      <w:proofErr w:type="spellEnd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91</w:t>
      </w:r>
      <w:proofErr w:type="spellEnd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103DB2" w:rsidRDefault="00103DB2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Struktura ovih prihoda je slijedeća:</w:t>
      </w:r>
    </w:p>
    <w:p w:rsidR="00103DB2" w:rsidRPr="00103DB2" w:rsidRDefault="00103DB2" w:rsidP="00103DB2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3DB2">
        <w:rPr>
          <w:rFonts w:ascii="Times New Roman" w:eastAsia="Times New Roman" w:hAnsi="Times New Roman"/>
          <w:b/>
          <w:sz w:val="24"/>
          <w:szCs w:val="24"/>
          <w:lang w:eastAsia="hr-HR"/>
        </w:rPr>
        <w:t>tekuće pomoći</w:t>
      </w: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iz državnog proračuna u iznosu od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315.664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85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€ (fiskalno izravnanje), sredstva za fiskalnu održivost dječjih vrtića od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126.339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,00 €, za djecu s poteškoćama u razvoju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2.846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,40. Ovi prihodi ostvareni su temeljem Odluke ministarstva financija. Tekuće pomoći iz državnog proračuna-Ministarstvo demografije i useljeništva temeljem projekta Provedba edukativnih i sportskih aktivnosti djece, dodatni sati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TZK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26.700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,00 €., te tekuće pomoći iz općinskih proračuna za Program Zaželi u ovom izvještajnom razdoblju iznose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6.418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,10 €. </w:t>
      </w:r>
    </w:p>
    <w:p w:rsidR="00103DB2" w:rsidRDefault="00103DB2" w:rsidP="00103DB2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-</w:t>
      </w:r>
      <w:r w:rsidRPr="00103DB2">
        <w:rPr>
          <w:rFonts w:ascii="Times New Roman" w:eastAsia="Times New Roman" w:hAnsi="Times New Roman"/>
          <w:b/>
          <w:sz w:val="24"/>
          <w:szCs w:val="24"/>
          <w:lang w:eastAsia="hr-HR"/>
        </w:rPr>
        <w:t>kapitalne pomoći</w:t>
      </w: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iz državnog proračuna, Ministarstvo mora, prometa i infrastrukture za projekt Pješačko-biciklistički prometni poligon ostvarene su u iznosu od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30.547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,50 €, iz Ministarstva regionalnog razvoja i fondova EU za uređenje zgrade Općine (prostorije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JUO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) ostvareno je 50.000,00 €, a sredstva u iznosu od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21.828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,92 € ostvarena su od Središnjeg ureda za demografiju i mlade temeljem projekta Ulaganje u dječji vrtić, što ukupno za kapitalne pomoći proračunu iz drugih proračuna iznosi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102.376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42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€. </w:t>
      </w:r>
    </w:p>
    <w:p w:rsidR="00103DB2" w:rsidRPr="00103DB2" w:rsidRDefault="00103DB2" w:rsidP="00103DB2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Ostvarene su i  pomoći od HZZO temeljem refundacije bo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lovanja u iznosu od 1.750,54€ te tekuće pomoći iz državnog proračuna za program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djecu s poteškoćama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Vinica u iznosu od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2.802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,60 €.</w:t>
      </w:r>
    </w:p>
    <w:p w:rsidR="00103DB2" w:rsidRPr="00103DB2" w:rsidRDefault="00103DB2" w:rsidP="00103DB2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03DB2">
        <w:rPr>
          <w:rFonts w:ascii="Times New Roman" w:eastAsia="Times New Roman" w:hAnsi="Times New Roman"/>
          <w:b/>
          <w:sz w:val="24"/>
          <w:szCs w:val="24"/>
          <w:lang w:eastAsia="hr-HR"/>
        </w:rPr>
        <w:t>-pomoći iz državnog proračuna temeljem prijenosa EU sredstava</w:t>
      </w:r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ostvarene su u iznosu od </w:t>
      </w:r>
      <w:proofErr w:type="spellStart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19.360</w:t>
      </w:r>
      <w:proofErr w:type="spellEnd"/>
      <w:r w:rsidRPr="00103DB2">
        <w:rPr>
          <w:rFonts w:ascii="Times New Roman" w:eastAsia="Times New Roman" w:hAnsi="Times New Roman"/>
          <w:sz w:val="24"/>
          <w:szCs w:val="24"/>
          <w:lang w:eastAsia="hr-HR"/>
        </w:rPr>
        <w:t>,00 € i odnose se na projekt izgradnje ograde/zida na groblju.</w:t>
      </w:r>
    </w:p>
    <w:p w:rsidR="00103DB2" w:rsidRPr="00103DB2" w:rsidRDefault="00103DB2" w:rsidP="00103DB2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03DB2" w:rsidRDefault="00103DB2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konta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64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obuhvaća prihode od zakupa i iznajmljivanja imovine, prihode od legalizacije i spomeničku rentu, a os</w:t>
      </w:r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 xml:space="preserve">tvareni su u iznosu od </w:t>
      </w:r>
      <w:proofErr w:type="spellStart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36.756</w:t>
      </w:r>
      <w:proofErr w:type="spellEnd"/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,75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€, </w:t>
      </w:r>
      <w:r w:rsidR="00103DB2">
        <w:rPr>
          <w:rFonts w:ascii="Times New Roman" w:eastAsia="Times New Roman" w:hAnsi="Times New Roman"/>
          <w:sz w:val="24"/>
          <w:szCs w:val="24"/>
          <w:lang w:eastAsia="hr-HR"/>
        </w:rPr>
        <w:t>te nije bilo većih odstupanja u odnosu na usporedno razdoblje.</w:t>
      </w: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Sk</w:t>
      </w:r>
      <w:r w:rsidR="00657F3A">
        <w:rPr>
          <w:rFonts w:ascii="Times New Roman" w:eastAsia="Times New Roman" w:hAnsi="Times New Roman"/>
          <w:sz w:val="24"/>
          <w:szCs w:val="24"/>
          <w:lang w:eastAsia="hr-HR"/>
        </w:rPr>
        <w:t>up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ina </w:t>
      </w:r>
      <w:proofErr w:type="spellStart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65</w:t>
      </w:r>
      <w:proofErr w:type="spellEnd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 bilježi povećanje od 8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% koje se uglavnom odnosi na prihode po posebnim propisima, tj.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ošasnu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imovinu.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proofErr w:type="spellEnd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 povećanje je uglavnom radi povećanih prihoda s osnova doprinosa za šume i ostvarenih prihoda s osnova komunalnog doprinosa.</w:t>
      </w:r>
    </w:p>
    <w:p w:rsid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Skupina 66 Prihodi od prodaje proizvoda i robe te pruženih usluga, prihodi od donacija te povrati po protestir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anim jamstvima ostvareni su </w:t>
      </w:r>
      <w:proofErr w:type="spellStart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621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% više nego prethodne 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godine i to ugla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vnom zbog prihoda od  donacija i to od pravnih osoba za izgradnju pješačko-biciklistički prometni poligon i od fizičkih osoba za Martinje i Advent.</w:t>
      </w:r>
    </w:p>
    <w:p w:rsidR="00944DDB" w:rsidRPr="00067C75" w:rsidRDefault="007709DB" w:rsidP="00944DD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68</w:t>
      </w:r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44DDB" w:rsidRPr="00067C75">
        <w:rPr>
          <w:rFonts w:ascii="Times New Roman" w:eastAsia="Times New Roman" w:hAnsi="Times New Roman"/>
          <w:sz w:val="24"/>
          <w:szCs w:val="24"/>
          <w:lang w:eastAsia="hr-HR"/>
        </w:rPr>
        <w:t xml:space="preserve">Kazne, upravne mjere i ostali prihodi 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nisu</w:t>
      </w:r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944DDB" w:rsidRPr="00AF3A56" w:rsidRDefault="00944DDB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Prihodi od prodaje 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nefinancijske imovine (7) u </w:t>
      </w:r>
      <w:proofErr w:type="spellStart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proofErr w:type="spellEnd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. ukupno iznose </w:t>
      </w:r>
      <w:proofErr w:type="spellStart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3.929</w:t>
      </w:r>
      <w:proofErr w:type="spellEnd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,60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€ i odnose se na prodaju općinski stanova.</w:t>
      </w:r>
    </w:p>
    <w:p w:rsidR="00AF3A56" w:rsidRDefault="00AF3A56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3A56" w:rsidRPr="005960B8" w:rsidRDefault="00AF3A56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F1EB3" w:rsidRPr="006C4747" w:rsidRDefault="006F1EB3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45F7" w:rsidRPr="006C4747" w:rsidRDefault="00944DDB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2.</w:t>
      </w:r>
    </w:p>
    <w:p w:rsidR="00943567" w:rsidRPr="00601DAB" w:rsidRDefault="00943567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844D19" w:rsidRPr="00944DDB" w:rsidRDefault="002958A8" w:rsidP="00944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DDB">
        <w:rPr>
          <w:rFonts w:ascii="Times New Roman" w:hAnsi="Times New Roman"/>
          <w:b/>
          <w:sz w:val="24"/>
          <w:szCs w:val="24"/>
        </w:rPr>
        <w:t xml:space="preserve"> </w:t>
      </w:r>
      <w:r w:rsidR="00844D19" w:rsidRPr="00944DDB">
        <w:rPr>
          <w:rFonts w:ascii="Times New Roman" w:hAnsi="Times New Roman"/>
          <w:b/>
          <w:sz w:val="24"/>
          <w:szCs w:val="24"/>
        </w:rPr>
        <w:t>RASHODI</w:t>
      </w:r>
      <w:r w:rsidR="008945F7" w:rsidRPr="00944DDB">
        <w:rPr>
          <w:rFonts w:ascii="Times New Roman" w:hAnsi="Times New Roman"/>
          <w:b/>
          <w:sz w:val="24"/>
          <w:szCs w:val="24"/>
        </w:rPr>
        <w:t xml:space="preserve"> I IZDACI</w:t>
      </w:r>
    </w:p>
    <w:p w:rsidR="00703EE2" w:rsidRPr="00F76226" w:rsidRDefault="00703EE2" w:rsidP="00D17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D19" w:rsidRPr="00F76226" w:rsidRDefault="00844D19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226">
        <w:rPr>
          <w:rFonts w:ascii="Times New Roman" w:hAnsi="Times New Roman"/>
          <w:sz w:val="24"/>
          <w:szCs w:val="24"/>
        </w:rPr>
        <w:t>Rashodi poslo</w:t>
      </w:r>
      <w:r w:rsidR="002958A8" w:rsidRPr="00F76226">
        <w:rPr>
          <w:rFonts w:ascii="Times New Roman" w:hAnsi="Times New Roman"/>
          <w:sz w:val="24"/>
          <w:szCs w:val="24"/>
        </w:rPr>
        <w:t xml:space="preserve">vanja za izvještajno razdoblje </w:t>
      </w:r>
      <w:r w:rsidRPr="00F76226">
        <w:rPr>
          <w:rFonts w:ascii="Times New Roman" w:hAnsi="Times New Roman"/>
          <w:sz w:val="24"/>
          <w:szCs w:val="24"/>
        </w:rPr>
        <w:t xml:space="preserve">ostvareni su u iznosu od </w:t>
      </w:r>
      <w:r w:rsidR="004602DD">
        <w:rPr>
          <w:rFonts w:ascii="Times New Roman" w:hAnsi="Times New Roman"/>
          <w:sz w:val="24"/>
          <w:szCs w:val="24"/>
        </w:rPr>
        <w:t>1.577.746,08</w:t>
      </w:r>
      <w:r w:rsidR="00C64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83B">
        <w:rPr>
          <w:rFonts w:ascii="Times New Roman" w:hAnsi="Times New Roman"/>
          <w:sz w:val="24"/>
          <w:szCs w:val="24"/>
        </w:rPr>
        <w:t>eur</w:t>
      </w:r>
      <w:proofErr w:type="spellEnd"/>
      <w:r w:rsidR="008E0022" w:rsidRPr="00F76226">
        <w:rPr>
          <w:rFonts w:ascii="Times New Roman" w:hAnsi="Times New Roman"/>
          <w:sz w:val="24"/>
          <w:szCs w:val="24"/>
        </w:rPr>
        <w:t xml:space="preserve"> što je </w:t>
      </w:r>
      <w:r w:rsidR="00C6483B">
        <w:rPr>
          <w:rFonts w:ascii="Times New Roman" w:hAnsi="Times New Roman"/>
          <w:sz w:val="24"/>
          <w:szCs w:val="24"/>
        </w:rPr>
        <w:t xml:space="preserve"> za </w:t>
      </w:r>
      <w:r w:rsidR="004602DD">
        <w:rPr>
          <w:rFonts w:ascii="Times New Roman" w:hAnsi="Times New Roman"/>
          <w:sz w:val="24"/>
          <w:szCs w:val="24"/>
        </w:rPr>
        <w:t>22,5</w:t>
      </w:r>
      <w:r w:rsidR="00C6483B">
        <w:rPr>
          <w:rFonts w:ascii="Times New Roman" w:hAnsi="Times New Roman"/>
          <w:sz w:val="24"/>
          <w:szCs w:val="24"/>
        </w:rPr>
        <w:t>%</w:t>
      </w:r>
      <w:r w:rsidR="00DE569F" w:rsidRPr="00F76226">
        <w:rPr>
          <w:rFonts w:ascii="Times New Roman" w:hAnsi="Times New Roman"/>
          <w:sz w:val="24"/>
          <w:szCs w:val="24"/>
        </w:rPr>
        <w:t xml:space="preserve"> </w:t>
      </w:r>
      <w:r w:rsidR="00944DDB">
        <w:rPr>
          <w:rFonts w:ascii="Times New Roman" w:hAnsi="Times New Roman"/>
          <w:sz w:val="24"/>
          <w:szCs w:val="24"/>
        </w:rPr>
        <w:t xml:space="preserve">više </w:t>
      </w:r>
      <w:r w:rsidR="008E0022" w:rsidRPr="00F76226">
        <w:rPr>
          <w:rFonts w:ascii="Times New Roman" w:hAnsi="Times New Roman"/>
          <w:sz w:val="24"/>
          <w:szCs w:val="24"/>
        </w:rPr>
        <w:t xml:space="preserve">u odnosu na </w:t>
      </w:r>
      <w:r w:rsidR="00703EE2" w:rsidRPr="00F76226">
        <w:rPr>
          <w:rFonts w:ascii="Times New Roman" w:hAnsi="Times New Roman"/>
          <w:sz w:val="24"/>
          <w:szCs w:val="24"/>
        </w:rPr>
        <w:t>prethodno izvještajno razdoblje</w:t>
      </w:r>
      <w:r w:rsidR="0058144F" w:rsidRPr="00F76226">
        <w:rPr>
          <w:rFonts w:ascii="Times New Roman" w:hAnsi="Times New Roman"/>
          <w:sz w:val="24"/>
          <w:szCs w:val="24"/>
        </w:rPr>
        <w:t>.</w:t>
      </w:r>
    </w:p>
    <w:p w:rsidR="0058144F" w:rsidRPr="00F76226" w:rsidRDefault="0058144F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D19" w:rsidRPr="00F76226" w:rsidRDefault="00A93ACD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Usporedba</w:t>
      </w:r>
      <w:r w:rsidR="00844D19" w:rsidRPr="00F76226">
        <w:rPr>
          <w:rFonts w:ascii="Times New Roman" w:hAnsi="Times New Roman"/>
          <w:sz w:val="24"/>
          <w:szCs w:val="24"/>
        </w:rPr>
        <w:t xml:space="preserve"> u odnosu na prethodnu </w:t>
      </w:r>
      <w:r w:rsidR="0058144F" w:rsidRPr="00F76226">
        <w:rPr>
          <w:rFonts w:ascii="Times New Roman" w:hAnsi="Times New Roman"/>
          <w:sz w:val="24"/>
          <w:szCs w:val="24"/>
        </w:rPr>
        <w:t>proračunsku</w:t>
      </w:r>
      <w:r>
        <w:rPr>
          <w:rFonts w:ascii="Times New Roman" w:hAnsi="Times New Roman"/>
          <w:sz w:val="24"/>
          <w:szCs w:val="24"/>
        </w:rPr>
        <w:t xml:space="preserve"> godinu je slijedeća</w:t>
      </w:r>
    </w:p>
    <w:p w:rsidR="00D37E20" w:rsidRPr="00601DAB" w:rsidRDefault="00D37E20" w:rsidP="00D17D1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93ACD" w:rsidRPr="00A93ACD" w:rsidRDefault="007A3EC3" w:rsidP="007A3EC3">
      <w:pPr>
        <w:suppressAutoHyphens w:val="0"/>
        <w:autoSpaceDN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skupina 31-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odnosi se na rashode za zaposlene (neto plaće, doprinose na plaću, darove i ostale rashode za zaposlene)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, povećanje 36,7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%</w:t>
      </w:r>
    </w:p>
    <w:p w:rsidR="00A93ACD" w:rsidRDefault="00A93ACD" w:rsidP="00A93ACD">
      <w:pPr>
        <w:numPr>
          <w:ilvl w:val="1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Do razlike rashoda za zaposlene u odnosu na prošlu godinu došlo je zbog povećanja </w:t>
      </w:r>
      <w:r w:rsidR="007A3EC3">
        <w:rPr>
          <w:rFonts w:ascii="Times New Roman" w:eastAsia="Times New Roman" w:hAnsi="Times New Roman"/>
          <w:sz w:val="24"/>
          <w:szCs w:val="24"/>
          <w:lang w:eastAsia="hr-HR"/>
        </w:rPr>
        <w:t>osnovice kod Dječjeg vrtića Vinica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 te zbog dvije zaposlene </w:t>
      </w:r>
      <w:proofErr w:type="spellStart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gerontodomaćice</w:t>
      </w:r>
      <w:proofErr w:type="spellEnd"/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 xml:space="preserve"> u sklopu projekta Zaželi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te isplate otpremnine službeniku koji je otišao u mirovinu</w:t>
      </w:r>
    </w:p>
    <w:p w:rsidR="001A497B" w:rsidRPr="00A93ACD" w:rsidRDefault="001A497B" w:rsidP="001A497B">
      <w:pPr>
        <w:suppressAutoHyphens w:val="0"/>
        <w:autoSpaceDN/>
        <w:spacing w:after="0" w:line="240" w:lineRule="auto"/>
        <w:ind w:left="178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P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skupina 32- 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>odnosi se na materijalne rashode koji obuhvaćaju naknade troškova zaposlenima, rashode za materijal i energiju (za uredski materijal, sredstva za čišćenje i održavanje, električnu energiju, radnu odjeću i obuću,), rashode za usluge (za zdravstvene usluge, računalne usluge, telefona, komunalne usluge,sitni inventar,) naknade troškova osobama izvan radnog odnosa te ostale 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espomenute rashode poslovanja, povećanje u odnosno na ist</w:t>
      </w:r>
      <w:r w:rsidR="004602DD">
        <w:rPr>
          <w:rFonts w:ascii="Times New Roman" w:eastAsia="Times New Roman" w:hAnsi="Times New Roman"/>
          <w:sz w:val="24"/>
          <w:szCs w:val="24"/>
          <w:lang w:eastAsia="hr-HR"/>
        </w:rPr>
        <w:t>o razdoblje protekle godine 20,3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%</w:t>
      </w:r>
    </w:p>
    <w:p w:rsidR="00A93ACD" w:rsidRDefault="00F65912" w:rsidP="001A497B">
      <w:pPr>
        <w:numPr>
          <w:ilvl w:val="1"/>
          <w:numId w:val="19"/>
        </w:numPr>
        <w:tabs>
          <w:tab w:val="clear" w:pos="1785"/>
          <w:tab w:val="num" w:pos="1560"/>
        </w:tabs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>o povećanja materijalnih rashoda i kod proračunskog korisnika Dječji vrtić Vinica i kod Općine Vinica došlo je u najvećoj mjeri radi povećanja cijene energenta i ostalih režijskih troškova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te veće cijene intelektualnih i ostalih usluga</w:t>
      </w:r>
    </w:p>
    <w:p w:rsidR="00F65912" w:rsidRPr="001A497B" w:rsidRDefault="00F65912" w:rsidP="00A93ACD">
      <w:pPr>
        <w:numPr>
          <w:ilvl w:val="1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A497B">
        <w:rPr>
          <w:rFonts w:ascii="Times New Roman" w:hAnsi="Times New Roman"/>
        </w:rPr>
        <w:t xml:space="preserve">veći su i rashodi za naknade troškova zaposlenima (korištenje </w:t>
      </w:r>
      <w:proofErr w:type="spellStart"/>
      <w:r w:rsidRPr="001A497B">
        <w:rPr>
          <w:rFonts w:ascii="Times New Roman" w:hAnsi="Times New Roman"/>
        </w:rPr>
        <w:t>priv</w:t>
      </w:r>
      <w:proofErr w:type="spellEnd"/>
      <w:r w:rsidRPr="001A497B">
        <w:rPr>
          <w:rFonts w:ascii="Times New Roman" w:hAnsi="Times New Roman"/>
        </w:rPr>
        <w:t xml:space="preserve">. vozila u sl. svrhe </w:t>
      </w:r>
      <w:proofErr w:type="spellStart"/>
      <w:r w:rsidRPr="001A497B">
        <w:rPr>
          <w:rFonts w:ascii="Times New Roman" w:hAnsi="Times New Roman"/>
        </w:rPr>
        <w:t>gerontodomaćica</w:t>
      </w:r>
      <w:proofErr w:type="spellEnd"/>
      <w:r w:rsidRPr="001A497B">
        <w:rPr>
          <w:rFonts w:ascii="Times New Roman" w:hAnsi="Times New Roman"/>
        </w:rPr>
        <w:t xml:space="preserve">), rashodi za stručno usavršavanje (zbog izmjene propisa koje je potrebno primjenjivati), veće rashode za sitni inventar (sitni inventar turistička infrastruktura), povećanje grobne naknade za grobna mjesta koja su u vlasništvu općine </w:t>
      </w:r>
    </w:p>
    <w:p w:rsidR="001A497B" w:rsidRPr="00A93ACD" w:rsidRDefault="001A497B" w:rsidP="001A497B">
      <w:pPr>
        <w:suppressAutoHyphens w:val="0"/>
        <w:autoSpaceDN/>
        <w:spacing w:after="0" w:line="240" w:lineRule="auto"/>
        <w:ind w:left="178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34-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 rashodi, a koji se odnose na bankarske usluge i usluge platnog prometa i zatezne kamate, u odnosu n</w:t>
      </w:r>
      <w:r w:rsidR="00F65912">
        <w:rPr>
          <w:rFonts w:ascii="Times New Roman" w:eastAsia="Times New Roman" w:hAnsi="Times New Roman"/>
          <w:sz w:val="24"/>
          <w:szCs w:val="24"/>
          <w:lang w:eastAsia="hr-HR"/>
        </w:rPr>
        <w:t xml:space="preserve">a prošlu godinu smanjeni su za 14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%,</w:t>
      </w:r>
    </w:p>
    <w:p w:rsidR="00F65912" w:rsidRPr="00A93ACD" w:rsidRDefault="00F65912" w:rsidP="00F65912">
      <w:pPr>
        <w:suppressAutoHyphens w:val="0"/>
        <w:autoSpaceDN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P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35 -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Subvencije, u odnosu na isto razdobl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 w:rsidR="00E61FF2">
        <w:rPr>
          <w:rFonts w:ascii="Times New Roman" w:eastAsia="Times New Roman" w:hAnsi="Times New Roman"/>
          <w:sz w:val="24"/>
          <w:szCs w:val="24"/>
          <w:lang w:eastAsia="hr-HR"/>
        </w:rPr>
        <w:t xml:space="preserve"> prošle godine povećanje je 19,2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%</w:t>
      </w:r>
    </w:p>
    <w:p w:rsidR="009727BB" w:rsidRPr="001A497B" w:rsidRDefault="00A93ACD" w:rsidP="001A497B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A497B">
        <w:rPr>
          <w:rFonts w:ascii="Times New Roman" w:eastAsia="Times New Roman" w:hAnsi="Times New Roman"/>
          <w:sz w:val="24"/>
          <w:szCs w:val="24"/>
          <w:lang w:eastAsia="hr-HR"/>
        </w:rPr>
        <w:t>odnose se na subvencije trgovačkim društvima, zadrugama, poljoprivrednicima i obrtnicima izvan javnog sektora</w:t>
      </w:r>
      <w:r w:rsidR="00DB189A" w:rsidRPr="001A497B">
        <w:rPr>
          <w:rFonts w:ascii="Times New Roman" w:eastAsia="Times New Roman" w:hAnsi="Times New Roman"/>
          <w:sz w:val="24"/>
          <w:szCs w:val="24"/>
          <w:lang w:eastAsia="hr-HR"/>
        </w:rPr>
        <w:t xml:space="preserve"> i participacije roditelja </w:t>
      </w:r>
      <w:proofErr w:type="spellStart"/>
      <w:r w:rsidR="00DB189A" w:rsidRPr="001A497B">
        <w:rPr>
          <w:rFonts w:ascii="Times New Roman" w:eastAsia="Times New Roman" w:hAnsi="Times New Roman"/>
          <w:sz w:val="24"/>
          <w:szCs w:val="24"/>
          <w:lang w:eastAsia="hr-HR"/>
        </w:rPr>
        <w:t>DV</w:t>
      </w:r>
      <w:proofErr w:type="spellEnd"/>
      <w:r w:rsidR="00DB189A" w:rsidRPr="001A497B">
        <w:rPr>
          <w:rFonts w:ascii="Times New Roman" w:eastAsia="Times New Roman" w:hAnsi="Times New Roman"/>
          <w:sz w:val="24"/>
          <w:szCs w:val="24"/>
          <w:lang w:eastAsia="hr-HR"/>
        </w:rPr>
        <w:t xml:space="preserve"> Vinica, a povećanje je zbog većeg broja odobrenih zahtjeva koji udovoljavaju kriterijima za dodjelu subvencija </w:t>
      </w:r>
    </w:p>
    <w:p w:rsidR="001A497B" w:rsidRPr="009727BB" w:rsidRDefault="001A497B" w:rsidP="001A497B">
      <w:pPr>
        <w:suppressAutoHyphens w:val="0"/>
        <w:autoSpaceDN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Pr="00A93ACD" w:rsidRDefault="009727BB" w:rsidP="0047074A">
      <w:pPr>
        <w:suppressAutoHyphens w:val="0"/>
        <w:autoSpaceDN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-</w:t>
      </w:r>
      <w:r w:rsidR="00DB189A" w:rsidRPr="00E61FF2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 w:rsidR="00A93ACD" w:rsidRPr="00E61FF2">
        <w:rPr>
          <w:rFonts w:ascii="Times New Roman" w:eastAsia="Times New Roman" w:hAnsi="Times New Roman"/>
          <w:sz w:val="24"/>
          <w:szCs w:val="24"/>
          <w:lang w:eastAsia="hr-HR"/>
        </w:rPr>
        <w:t>skupina 36</w:t>
      </w:r>
      <w:r w:rsidR="00DB189A" w:rsidRPr="00E61FF2"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="00A93ACD" w:rsidRPr="00E61FF2">
        <w:rPr>
          <w:rFonts w:ascii="Times New Roman" w:eastAsia="Times New Roman" w:hAnsi="Times New Roman"/>
          <w:sz w:val="24"/>
          <w:szCs w:val="24"/>
          <w:lang w:eastAsia="hr-HR"/>
        </w:rPr>
        <w:t xml:space="preserve"> Pomoći dane u inozemstvo i unutar općeg proračuna, 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indeks u odnosu isto razdob</w:t>
      </w:r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>l</w:t>
      </w:r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 xml:space="preserve">je protekle godine iznosi </w:t>
      </w:r>
      <w:proofErr w:type="spellStart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>151</w:t>
      </w:r>
      <w:proofErr w:type="spellEnd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>,9</w:t>
      </w:r>
    </w:p>
    <w:p w:rsidR="00DB189A" w:rsidRDefault="00A93ACD" w:rsidP="00DB189A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Do povećanja u ovoj skupini došlo je uglavnom zbog povećanja </w:t>
      </w:r>
      <w:r w:rsidR="00DB189A" w:rsidRPr="00DB189A">
        <w:rPr>
          <w:rFonts w:ascii="Times New Roman" w:eastAsia="Times New Roman" w:hAnsi="Times New Roman"/>
          <w:sz w:val="24"/>
          <w:szCs w:val="24"/>
          <w:lang w:eastAsia="hr-HR"/>
        </w:rPr>
        <w:t xml:space="preserve">zbog povećanja mjesečnih troškova  najma zgrade OŠ Vinica, najam po </w:t>
      </w:r>
      <w:proofErr w:type="spellStart"/>
      <w:r w:rsidR="00DB189A" w:rsidRPr="00DB189A">
        <w:rPr>
          <w:rFonts w:ascii="Times New Roman" w:eastAsia="Times New Roman" w:hAnsi="Times New Roman"/>
          <w:sz w:val="24"/>
          <w:szCs w:val="24"/>
          <w:lang w:eastAsia="hr-HR"/>
        </w:rPr>
        <w:t>JPP</w:t>
      </w:r>
      <w:proofErr w:type="spellEnd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 xml:space="preserve">, povećanom iznosu za </w:t>
      </w:r>
      <w:proofErr w:type="spellStart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>sufin.troškova</w:t>
      </w:r>
      <w:proofErr w:type="spellEnd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 xml:space="preserve"> rada </w:t>
      </w:r>
      <w:proofErr w:type="spellStart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>TZP</w:t>
      </w:r>
      <w:proofErr w:type="spellEnd"/>
      <w:r w:rsidR="0047074A">
        <w:rPr>
          <w:rFonts w:ascii="Times New Roman" w:eastAsia="Times New Roman" w:hAnsi="Times New Roman"/>
          <w:sz w:val="24"/>
          <w:szCs w:val="24"/>
          <w:lang w:eastAsia="hr-HR"/>
        </w:rPr>
        <w:t xml:space="preserve"> Sjever Zagorja</w:t>
      </w:r>
    </w:p>
    <w:p w:rsidR="0047074A" w:rsidRPr="00DB189A" w:rsidRDefault="0047074A" w:rsidP="001A497B">
      <w:pPr>
        <w:suppressAutoHyphens w:val="0"/>
        <w:autoSpaceDN/>
        <w:spacing w:after="0" w:line="240" w:lineRule="auto"/>
        <w:ind w:left="163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-    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37 -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Naknade građanima i kućanstvima na temelju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osiguranja i druge  naknade, indeks u odnosu na prethodnu godinu za isto izvještajno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razd</w:t>
      </w:r>
      <w:r w:rsidR="001A497B">
        <w:rPr>
          <w:rFonts w:ascii="Times New Roman" w:eastAsia="Times New Roman" w:hAnsi="Times New Roman"/>
          <w:sz w:val="24"/>
          <w:szCs w:val="24"/>
          <w:lang w:eastAsia="hr-HR"/>
        </w:rPr>
        <w:t>oblje iznosi 142,9</w:t>
      </w:r>
    </w:p>
    <w:p w:rsidR="00A93ACD" w:rsidRDefault="00A93ACD" w:rsidP="00A93ACD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eastAsia="Times New Roman" w:cs="Calibri"/>
          <w:lang w:eastAsia="hr-HR"/>
        </w:rPr>
        <w:t xml:space="preserve">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Ovi rashodi ovise o podnesenim zahtjevima koji udovoljavaju kriterijima dodjele </w:t>
      </w:r>
    </w:p>
    <w:p w:rsidR="001A497B" w:rsidRPr="00A93ACD" w:rsidRDefault="001A497B" w:rsidP="001A497B">
      <w:pPr>
        <w:suppressAutoHyphens w:val="0"/>
        <w:autoSpaceDN/>
        <w:spacing w:after="0" w:line="240" w:lineRule="auto"/>
        <w:ind w:left="163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-     skupina 38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 -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Ostali rashodi   koji obuhvaćaju Tekuće donacije,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Kapitalne donacije, Kapitalne pomoći, a indeks u odnosu na prošlu godinu isto </w:t>
      </w:r>
    </w:p>
    <w:p w:rsidR="0095177B" w:rsidRDefault="00A93ACD" w:rsidP="00505FD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izvještajno razdoblje iznosi </w:t>
      </w:r>
      <w:proofErr w:type="spellStart"/>
      <w:r w:rsidR="001A497B">
        <w:rPr>
          <w:rFonts w:ascii="Times New Roman" w:eastAsia="Times New Roman" w:hAnsi="Times New Roman"/>
          <w:sz w:val="24"/>
          <w:szCs w:val="24"/>
          <w:lang w:eastAsia="hr-HR"/>
        </w:rPr>
        <w:t>91</w:t>
      </w:r>
      <w:proofErr w:type="spellEnd"/>
      <w:r w:rsidR="001A497B">
        <w:rPr>
          <w:rFonts w:ascii="Times New Roman" w:eastAsia="Times New Roman" w:hAnsi="Times New Roman"/>
          <w:sz w:val="24"/>
          <w:szCs w:val="24"/>
          <w:lang w:eastAsia="hr-HR"/>
        </w:rPr>
        <w:t>,7</w:t>
      </w:r>
      <w:r w:rsid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1A497B">
        <w:rPr>
          <w:rFonts w:ascii="Times New Roman" w:eastAsia="Times New Roman" w:hAnsi="Times New Roman"/>
          <w:sz w:val="24"/>
          <w:szCs w:val="24"/>
          <w:lang w:eastAsia="hr-HR"/>
        </w:rPr>
        <w:t xml:space="preserve">Iako nije bilo većih razlika u 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realiziranom </w:t>
      </w:r>
      <w:r w:rsidR="001A497B">
        <w:rPr>
          <w:rFonts w:ascii="Times New Roman" w:eastAsia="Times New Roman" w:hAnsi="Times New Roman"/>
          <w:sz w:val="24"/>
          <w:szCs w:val="24"/>
          <w:lang w:eastAsia="hr-HR"/>
        </w:rPr>
        <w:t xml:space="preserve">iznosu, 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505FD8" w:rsidRDefault="001A497B" w:rsidP="00505FD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razlika je u rasporedu rashoda. Najznačajnija razlika je u tome što 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su kapitalne pomoći za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aglomeraciju u odnosu na prošlu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godinu veće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a smanjeni je iznos za kapitalne pomoći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ŽUC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-u 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sufin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 radova na županijskim cestama na području općine Vinica</w:t>
      </w:r>
      <w:r w:rsid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6F1EB3" w:rsidRDefault="006F1EB3" w:rsidP="00D17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73F" w:rsidRDefault="00505FD8" w:rsidP="00D17D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3.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RASHODI ZA NABAVU NEFINANCIJSKE IMOVINE (4)</w:t>
      </w:r>
    </w:p>
    <w:p w:rsidR="0095177B" w:rsidRPr="0095177B" w:rsidRDefault="00505FD8" w:rsidP="0095177B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Iznos ostvarenih rashoda za nabavu nef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inancijske imovine do 31.12.2024. je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436.547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,61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, a indeks u odnosu na isto r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azdoblje protekle godine je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109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,5</w:t>
      </w:r>
      <w:r w:rsidR="0095177B"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Zemljište </w:t>
      </w:r>
      <w:r w:rsidR="0095177B"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- rashodi za zemljište se odnose na  kupnju  zemljišta u iznosu od </w:t>
      </w:r>
      <w:proofErr w:type="spellStart"/>
      <w:r w:rsidR="0095177B" w:rsidRPr="0095177B">
        <w:rPr>
          <w:rFonts w:ascii="Times New Roman" w:eastAsia="Times New Roman" w:hAnsi="Times New Roman"/>
          <w:sz w:val="24"/>
          <w:szCs w:val="24"/>
          <w:lang w:eastAsia="hr-HR"/>
        </w:rPr>
        <w:t>24.424</w:t>
      </w:r>
      <w:proofErr w:type="spellEnd"/>
      <w:r w:rsidR="0095177B" w:rsidRPr="0095177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95177B" w:rsidRPr="0095177B">
        <w:rPr>
          <w:rFonts w:ascii="Times New Roman" w:eastAsia="Times New Roman" w:hAnsi="Times New Roman"/>
          <w:sz w:val="24"/>
          <w:szCs w:val="24"/>
          <w:lang w:eastAsia="hr-HR"/>
        </w:rPr>
        <w:t>96</w:t>
      </w:r>
      <w:proofErr w:type="spellEnd"/>
      <w:r w:rsidR="0095177B"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€ (2 parcele iza Sportskog centra)</w:t>
      </w:r>
    </w:p>
    <w:p w:rsidR="0095177B" w:rsidRPr="0095177B" w:rsidRDefault="0095177B" w:rsidP="0095177B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>Ostali nespomenuti građevinski</w:t>
      </w:r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objekti realizirani su u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u iznosu od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232.021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,40 € , odnose se na:</w:t>
      </w:r>
    </w:p>
    <w:p w:rsidR="0095177B" w:rsidRPr="0095177B" w:rsidRDefault="0095177B" w:rsidP="0095177B">
      <w:pPr>
        <w:suppressAutoHyphens w:val="0"/>
        <w:autoSpaceDN/>
        <w:spacing w:after="0" w:line="240" w:lineRule="auto"/>
        <w:ind w:left="163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uređenje uređenje ograde uz ambulantu i u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Opečkoj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ulici, izgradnju ograde/zida na groblju</w:t>
      </w:r>
    </w:p>
    <w:p w:rsidR="0095177B" w:rsidRPr="0095177B" w:rsidRDefault="0095177B" w:rsidP="0095177B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>Postrojenja i oprema</w:t>
      </w:r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– ulaganja u uredsku opremu i namještaj iznose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65.278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76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€ i obuhvaća nabavu opreme za dječja igrala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DV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Vinica, nabavu opreme za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3D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modeliranje, nabavu jednog računala, ormar za server, komunalnu opremu</w:t>
      </w:r>
    </w:p>
    <w:p w:rsidR="0095177B" w:rsidRPr="0095177B" w:rsidRDefault="0095177B" w:rsidP="0095177B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Umjetnička, </w:t>
      </w:r>
      <w:proofErr w:type="spellStart"/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>literalna</w:t>
      </w:r>
      <w:proofErr w:type="spellEnd"/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 znanstvena djela </w:t>
      </w:r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– iznose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17.900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,00 € i odnose se na elaborat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Grebljica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, Glavni projekt NC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3003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, ulaganje u računalne programe – Registar imovine</w:t>
      </w:r>
    </w:p>
    <w:p w:rsidR="0095177B" w:rsidRPr="0095177B" w:rsidRDefault="0095177B" w:rsidP="0095177B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177B">
        <w:rPr>
          <w:rFonts w:ascii="Times New Roman" w:eastAsia="Times New Roman" w:hAnsi="Times New Roman"/>
          <w:b/>
          <w:sz w:val="24"/>
          <w:szCs w:val="24"/>
          <w:lang w:eastAsia="hr-HR"/>
        </w:rPr>
        <w:t>Dodatna ulaganja na građevinskim objektima -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180.501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,25 €, sastoje se od rashoda za uređenje prostora zgrade općine – prostorije </w:t>
      </w:r>
      <w:proofErr w:type="spellStart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JUO</w:t>
      </w:r>
      <w:proofErr w:type="spellEnd"/>
      <w:r w:rsidRPr="0095177B">
        <w:rPr>
          <w:rFonts w:ascii="Times New Roman" w:eastAsia="Times New Roman" w:hAnsi="Times New Roman"/>
          <w:sz w:val="24"/>
          <w:szCs w:val="24"/>
          <w:lang w:eastAsia="hr-HR"/>
        </w:rPr>
        <w:t>, staza uz zid na sportskom centru i idejno rješenje za Vatrogasni dom Vratno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Bilješka 4.</w:t>
      </w:r>
    </w:p>
    <w:p w:rsid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Nak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on utvrđivanja rezultata za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. godinu, ostvaren je višak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prihoda i primitaka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od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170.532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,09 € od kojeg je pokriven manjak iz prethodnih godina u iznosu od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121..039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,67 € te je preostali višak u iznosu od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49.492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42</w:t>
      </w:r>
      <w:proofErr w:type="spellEnd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 € 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 xml:space="preserve">raspoloživ u sljedećem razdoblju. </w:t>
      </w:r>
    </w:p>
    <w:p w:rsidR="0095177B" w:rsidRDefault="0095177B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b/>
          <w:sz w:val="24"/>
          <w:szCs w:val="24"/>
          <w:lang w:eastAsia="hr-HR"/>
        </w:rPr>
        <w:t>Bilješka 5.</w:t>
      </w:r>
    </w:p>
    <w:p w:rsidR="0096088D" w:rsidRPr="00505FD8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dan 31.12.2024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. stanje zaposlenih je</w:t>
      </w:r>
      <w:r w:rsidR="0096088D">
        <w:rPr>
          <w:rFonts w:ascii="Times New Roman" w:eastAsia="Times New Roman" w:hAnsi="Times New Roman"/>
          <w:sz w:val="24"/>
          <w:szCs w:val="24"/>
          <w:lang w:eastAsia="hr-HR"/>
        </w:rPr>
        <w:t>: u Općini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Vinica: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9</w:t>
      </w:r>
      <w:r w:rsidR="0096088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od toga 2 </w:t>
      </w:r>
      <w:proofErr w:type="spellStart"/>
      <w:r w:rsidR="0095177B">
        <w:rPr>
          <w:rFonts w:ascii="Times New Roman" w:eastAsia="Times New Roman" w:hAnsi="Times New Roman"/>
          <w:sz w:val="24"/>
          <w:szCs w:val="24"/>
          <w:lang w:eastAsia="hr-HR"/>
        </w:rPr>
        <w:t>gerontodomaćice</w:t>
      </w:r>
      <w:proofErr w:type="spellEnd"/>
    </w:p>
    <w:p w:rsidR="00E87B03" w:rsidRDefault="0096088D" w:rsidP="007F1FB1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i </w:t>
      </w:r>
      <w:r w:rsidR="00E87B03" w:rsidRP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Dječji vrtić Vinica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17 zaposlenih</w:t>
      </w: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 w:rsidRPr="00E87B03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Bilješka 6.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POPIS SUDSKI SPOROVA U TIJEKU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F1FB1" w:rsidRPr="007F1FB1" w:rsidRDefault="007F1FB1" w:rsidP="007F1FB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960"/>
        <w:gridCol w:w="4160"/>
        <w:gridCol w:w="1500"/>
      </w:tblGrid>
      <w:tr w:rsidR="007F1FB1" w:rsidRPr="007F1FB1" w:rsidTr="007253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R.br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predmet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utuženi iznos</w:t>
            </w:r>
          </w:p>
        </w:tc>
      </w:tr>
      <w:tr w:rsidR="007F1FB1" w:rsidRPr="007F1FB1" w:rsidTr="0072538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Općinski sud u Varaždinu, broj: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Pn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>-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56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/2020 - radi: naknade štete TUŽITELJ: CAKI TRANS d.o.o.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KOŠKOVEC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I TUŽENIK: DARKO PAJTLAR II TUŽENIK: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LJERKA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PAJTLAR III TUŽENIK: OPĆINA VINICA IV TUŽENIK: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SLAVICA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PAJTLAR V TUŽENIK: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EDINA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PAJTLA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73.657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>,04 EUR</w:t>
            </w:r>
          </w:p>
        </w:tc>
      </w:tr>
      <w:tr w:rsidR="007F1FB1" w:rsidRPr="007F1FB1" w:rsidTr="0072538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7F1FB1" w:rsidRPr="007F1FB1" w:rsidTr="0072538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7F1FB1" w:rsidRPr="007F1FB1" w:rsidTr="00725387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7F1FB1" w:rsidRPr="007F1FB1" w:rsidTr="00725387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Općinski sud u Varaždinu, broj: P-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205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/2020 - radi: isplate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BREGOVIĆ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STJEPAN TUŽENIK: OPĆINA VINICA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19.908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>,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42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EUR</w:t>
            </w:r>
          </w:p>
        </w:tc>
      </w:tr>
      <w:tr w:rsidR="007F1FB1" w:rsidRPr="007F1FB1" w:rsidTr="00725387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F1FB1">
              <w:rPr>
                <w:rFonts w:eastAsia="Times New Roman" w:cs="Calibri"/>
                <w:color w:val="000000"/>
                <w:lang w:eastAsia="hr-HR"/>
              </w:rPr>
              <w:t>Trgovački sud u Rijeci, broj: P-501/2021 (ranije: P-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126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/2018) - radi: utvrđenja prava vlasništva I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BOLJEŠIĆ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BARBARA II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DRETAR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BRANKO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III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BUBNJARIĆ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ANITA IV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STRMEČKI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IVAN V TUŽITELJ: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STRMEČKI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IVANKA VI TUŽITELJ: HRVATSKI ZAVOD ZA MIROVINSKO OSIGURANJE XII: TUŽENIK: OPĆINA VINICA i 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dr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B1" w:rsidRPr="007F1FB1" w:rsidRDefault="007F1FB1" w:rsidP="007F1FB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33.313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>,</w:t>
            </w:r>
            <w:proofErr w:type="spellStart"/>
            <w:r w:rsidRPr="007F1FB1">
              <w:rPr>
                <w:rFonts w:eastAsia="Times New Roman" w:cs="Calibri"/>
                <w:color w:val="000000"/>
                <w:lang w:eastAsia="hr-HR"/>
              </w:rPr>
              <w:t>42</w:t>
            </w:r>
            <w:proofErr w:type="spellEnd"/>
            <w:r w:rsidRPr="007F1FB1">
              <w:rPr>
                <w:rFonts w:eastAsia="Times New Roman" w:cs="Calibri"/>
                <w:color w:val="000000"/>
                <w:lang w:eastAsia="hr-HR"/>
              </w:rPr>
              <w:t xml:space="preserve"> EUR</w:t>
            </w:r>
          </w:p>
        </w:tc>
      </w:tr>
    </w:tbl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7.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PRIMICI I IZDACI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7F1FB1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Vinica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proofErr w:type="spellEnd"/>
      <w:r w:rsidR="00E87B03" w:rsidRPr="00505FD8">
        <w:rPr>
          <w:rFonts w:ascii="Times New Roman" w:eastAsia="Times New Roman" w:hAnsi="Times New Roman"/>
          <w:sz w:val="24"/>
          <w:szCs w:val="24"/>
          <w:lang w:eastAsia="hr-HR"/>
        </w:rPr>
        <w:t>. godini nije ostvarila primitke od financijske imovine i zaduživanja te nije imala izdataka za financijsku imovinu i otplate zajmova.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Bilješka 8.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STANJE NOVČANIH SREDSTAVA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- na početku izv</w:t>
      </w:r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 xml:space="preserve">ještajnog razdoblja 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>79.944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>,04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7F1FB1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ukupni priljevi: 2.619.245,33</w:t>
      </w:r>
      <w:r w:rsidR="00E87B03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7F1FB1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ukupni odljevi: 2.480.533,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52</w:t>
      </w:r>
      <w:proofErr w:type="spellEnd"/>
      <w:r w:rsidR="00E87B03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- stanje na kraju izvještajnog razdoblja: 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>218.655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hr-HR"/>
        </w:rPr>
        <w:t>85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078E5" w:rsidRPr="00505FD8" w:rsidRDefault="00E078E5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078E5" w:rsidRPr="00E078E5" w:rsidRDefault="00E078E5" w:rsidP="00E078E5">
      <w:pPr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BILJEŠKE UZ  OBRAZAC </w:t>
      </w:r>
      <w:r w:rsidRPr="00E078E5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/>
        </w:rPr>
        <w:t>BILANCA</w:t>
      </w:r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ZA</w:t>
      </w:r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RAZDOBLJE  </w:t>
      </w:r>
      <w:proofErr w:type="spellStart"/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01.01</w:t>
      </w:r>
      <w:proofErr w:type="spellEnd"/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. - </w:t>
      </w:r>
      <w:proofErr w:type="spellStart"/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31.12</w:t>
      </w:r>
      <w:proofErr w:type="spellEnd"/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. </w:t>
      </w:r>
      <w:proofErr w:type="spellStart"/>
      <w:r w:rsidR="007F1FB1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2024</w:t>
      </w:r>
      <w:proofErr w:type="spellEnd"/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. GOD.</w:t>
      </w:r>
    </w:p>
    <w:p w:rsidR="00E078E5" w:rsidRPr="00E078E5" w:rsidRDefault="00E078E5" w:rsidP="00E078E5">
      <w:pPr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15815" w:rsidRDefault="00715815" w:rsidP="00E078E5">
      <w:pPr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Bilješka 1.</w:t>
      </w:r>
      <w:r w:rsidR="00E078E5"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</w:p>
    <w:p w:rsidR="00350230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Ukupna vrijednost imovine na dan </w:t>
      </w:r>
      <w:r w:rsidR="007F1FB1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31.12.2024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. godine i</w:t>
      </w:r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znosi 6.396.748,12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i sadrži </w:t>
      </w:r>
    </w:p>
    <w:p w:rsidR="00E078E5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vrijednost nefinancijske imovine </w:t>
      </w:r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 xml:space="preserve">u iznosu od 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5.606..644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23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€</w:t>
      </w: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i vrijednost financijske imo</w:t>
      </w:r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 xml:space="preserve">vine u iznosu od 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790.103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>89</w:t>
      </w:r>
      <w:proofErr w:type="spellEnd"/>
      <w:r w:rsidR="007F1F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€</w:t>
      </w:r>
    </w:p>
    <w:p w:rsidR="007F1FB1" w:rsidRDefault="007F1FB1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1627C" w:rsidRDefault="007F1FB1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Osim novčanih sredstava, ostala financijska imovina odnosi se na: </w:t>
      </w:r>
    </w:p>
    <w:p w:rsidR="0071627C" w:rsidRDefault="0071627C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-ostala potraživanja (potraživanja od Hrvatskih voda za naknadu za uređenje voda u iznosu od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85.239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,00, </w:t>
      </w:r>
    </w:p>
    <w:p w:rsidR="0071627C" w:rsidRDefault="0071627C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-dionice i udjeli u glavnici u </w:t>
      </w:r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iznosu od </w:t>
      </w:r>
      <w:proofErr w:type="spellStart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365.385</w:t>
      </w:r>
      <w:proofErr w:type="spellEnd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90</w:t>
      </w:r>
      <w:proofErr w:type="spellEnd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€, a odnosi se na   udjela u glavnici trgovačkih društava Varkom d.d. i </w:t>
      </w:r>
      <w:proofErr w:type="spellStart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čistoča</w:t>
      </w:r>
      <w:proofErr w:type="spellEnd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d.d. Varaždin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</w:p>
    <w:p w:rsidR="0071627C" w:rsidRDefault="0071627C" w:rsidP="00350230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-potraživanja za poreze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14.760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,45</w:t>
      </w:r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 i odnose se na: porez na promet  nekretnina, porez na potrošnju, porez na tvrtku i porez na kuće za odmor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E078E5" w:rsidRPr="00E078E5" w:rsidRDefault="00E078E5" w:rsidP="00350230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- potraživanja za prihode 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 xml:space="preserve">od imovine u iznosu od 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31.892</w:t>
      </w:r>
      <w:proofErr w:type="spellEnd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85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 , a u istim potraživanjima iskazana su potraživanja za najamnine i i naknadu za neizgrađene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zgrade u prostoru.   </w:t>
      </w:r>
    </w:p>
    <w:p w:rsidR="00E078E5" w:rsidRPr="00E078E5" w:rsidRDefault="00E078E5" w:rsidP="0071627C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-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potraživanja za upravne i administrativne pristojbe, prihode po posebnim propisima</w:t>
      </w:r>
    </w:p>
    <w:p w:rsidR="00E078E5" w:rsidRPr="00E078E5" w:rsidRDefault="00E078E5" w:rsidP="00BE19EB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u iz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 xml:space="preserve">nosu od 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67.520</w:t>
      </w:r>
      <w:proofErr w:type="spellEnd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56</w:t>
      </w:r>
      <w:proofErr w:type="spellEnd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>, nav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ed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>e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na potraživanja sadrže: potraživanja za komunalni doprinos,potraživanja za grobnu naknadu, potraživanja za komunalnu naknadu od fizičkih osoba, potraživanja za komunalnu naknadu od pravnih osoba i ostala potraživanja  </w:t>
      </w:r>
    </w:p>
    <w:p w:rsidR="00E078E5" w:rsidRDefault="00E078E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-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potraživanja od prodaje nefinancij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 xml:space="preserve">ske imovine u iznosu od 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9.007</w:t>
      </w:r>
      <w:proofErr w:type="spellEnd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82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 xml:space="preserve"> koja se odnose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na potraživanja za otkup općinskih stanova</w:t>
      </w:r>
    </w:p>
    <w:p w:rsidR="00715815" w:rsidRDefault="0071581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b/>
          <w:sz w:val="24"/>
          <w:szCs w:val="24"/>
          <w:lang w:eastAsia="zh-CN"/>
        </w:rPr>
        <w:t>Bilješka 2.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Obveze i vlastiti izvor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 xml:space="preserve">i ukupno iznose od 6.396.748,12 € od toga obveze 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176.737</w:t>
      </w:r>
      <w:proofErr w:type="spellEnd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49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€ i vlastiti izvori 6.220.010,63</w:t>
      </w: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Vlastiti izvore sadrže vlastite </w:t>
      </w:r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izvore iz proračuna 5.802.558,</w:t>
      </w:r>
      <w:proofErr w:type="spellStart"/>
      <w:r w:rsidR="0071627C">
        <w:rPr>
          <w:rFonts w:ascii="Times New Roman" w:eastAsia="Times New Roman" w:hAnsi="Times New Roman"/>
          <w:sz w:val="24"/>
          <w:szCs w:val="24"/>
          <w:lang w:eastAsia="zh-CN"/>
        </w:rPr>
        <w:t>43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€, ostale vlastite izvore – udjeli u trgovačkim društvima 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365.385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90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€, obračunati prihodi </w:t>
      </w:r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 xml:space="preserve">poslovanja u iznosu od </w:t>
      </w:r>
      <w:proofErr w:type="spellStart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2.573</w:t>
      </w:r>
      <w:proofErr w:type="spellEnd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88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€, </w:t>
      </w:r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 xml:space="preserve">višak prihoda u iznosu od </w:t>
      </w:r>
      <w:proofErr w:type="spellStart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49.492</w:t>
      </w:r>
      <w:proofErr w:type="spellEnd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>42</w:t>
      </w:r>
      <w:proofErr w:type="spellEnd"/>
      <w:r w:rsidR="007735C0">
        <w:rPr>
          <w:rFonts w:ascii="Times New Roman" w:eastAsia="Times New Roman" w:hAnsi="Times New Roman"/>
          <w:sz w:val="24"/>
          <w:szCs w:val="24"/>
          <w:lang w:eastAsia="zh-CN"/>
        </w:rPr>
        <w:t xml:space="preserve"> €. </w:t>
      </w:r>
    </w:p>
    <w:p w:rsidR="00715815" w:rsidRPr="00E078E5" w:rsidRDefault="0071581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05FD8" w:rsidRPr="00505FD8" w:rsidRDefault="00505FD8" w:rsidP="00505FD8">
      <w:pPr>
        <w:keepNext/>
        <w:suppressAutoHyphens w:val="0"/>
        <w:autoSpaceDN/>
        <w:spacing w:after="0" w:line="240" w:lineRule="auto"/>
        <w:jc w:val="both"/>
        <w:outlineLvl w:val="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r-HR"/>
        </w:rPr>
        <w:t>Bilješke uz Izvještaj o obvezama – Obrazac: OBVEZE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ind w:left="360"/>
        <w:jc w:val="both"/>
        <w:rPr>
          <w:rFonts w:eastAsia="Times New Roman" w:cs="Calibri"/>
          <w:lang w:eastAsia="hr-HR"/>
        </w:rPr>
      </w:pPr>
    </w:p>
    <w:p w:rsidR="00505FD8" w:rsidRDefault="00AA0A1B" w:rsidP="00505FD8">
      <w:pPr>
        <w:suppressAutoHyphens w:val="0"/>
        <w:autoSpaceDN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Ukupno s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tanje obveza za početku izvješta</w:t>
      </w:r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jnog razdoblja iznose </w:t>
      </w:r>
      <w:proofErr w:type="spellStart"/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>329.680</w:t>
      </w:r>
      <w:proofErr w:type="spellEnd"/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Ukupne obveze na dan 31.1</w:t>
      </w:r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 xml:space="preserve">2.2024. godine iznose </w:t>
      </w:r>
      <w:proofErr w:type="spellStart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176.737</w:t>
      </w:r>
      <w:proofErr w:type="spellEnd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49</w:t>
      </w:r>
      <w:proofErr w:type="spellEnd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</w:t>
      </w:r>
    </w:p>
    <w:p w:rsidR="00AA0A1B" w:rsidRDefault="00A75EDF" w:rsidP="00AA0A1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Ukupne obveze 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odnose se na nepodmirene dospje</w:t>
      </w:r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 xml:space="preserve">le obveze u iznosu od </w:t>
      </w:r>
      <w:proofErr w:type="spellStart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100.533</w:t>
      </w:r>
      <w:proofErr w:type="spellEnd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,67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€, te nepodmirene, a nedospj</w:t>
      </w:r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 xml:space="preserve">ele obveze u iznosu od </w:t>
      </w:r>
      <w:proofErr w:type="spellStart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76.203</w:t>
      </w:r>
      <w:proofErr w:type="spellEnd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E96D0B">
        <w:rPr>
          <w:rFonts w:ascii="Times New Roman" w:eastAsia="Times New Roman" w:hAnsi="Times New Roman"/>
          <w:sz w:val="24"/>
          <w:szCs w:val="24"/>
          <w:lang w:eastAsia="hr-HR"/>
        </w:rPr>
        <w:t>82</w:t>
      </w:r>
      <w:proofErr w:type="spellEnd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 xml:space="preserve">BILJEŠKE UZ OBRAZAC </w:t>
      </w:r>
      <w:proofErr w:type="spellStart"/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RAS</w:t>
      </w:r>
      <w:proofErr w:type="spellEnd"/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-FUNKCIJSKI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Opće javne usluge (01) -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ukupan iznos za opće javne usluge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955.758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,99 € odnosi se na rashode za izvršna i zakonodavna tijela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33.225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,38 €, opće usluge vezane za službenike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218.868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,34 € i prijenose općeg karaktera između različitih državnih razina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672.644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,59 €.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2. Obrana (02) – 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ostvareno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12.355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65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 i odnosi se rashode za civilnu zaštitu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3. Javni red i sigurnost (03)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 ostvareno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44.115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,75 € i odnosi se na prijenose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VZO</w:t>
      </w:r>
      <w:proofErr w:type="spellEnd"/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 Ekonomski poslovi (04)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 ostvareno ukupno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83.636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,84 € i odnosi se na poljoprivredu i proizvodnju, promet, turizam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5. Zaštita okoliša (05)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ostvareno u iznosu od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21.366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,70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6. Usluge unapređenja stanovanja i zajednice (</w:t>
      </w:r>
      <w:proofErr w:type="spellStart"/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06</w:t>
      </w:r>
      <w:proofErr w:type="spellEnd"/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- ukupno ostvareno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105.846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,17 €, od toga na razvoj zajednice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25.287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79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€, uličnu rasvjetu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50.790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,32 €, stanovanje i kom pogodnosti u iznosu od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29.767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,45 e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7. Rekreacija, kultura, religija (08)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 po ovoj funkciji ostvareno je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178.507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06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  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8. Obrazovanje (09)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 rashodi ove funkcije raspoređeni su na predškolsko obrazovanje, osnovno obrazovanje, srednjoškolsko obrazovanje i visoku naobr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azbu, a ukupno iznose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543.037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89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 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96D0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 xml:space="preserve">9. Socijalna zaštita (10) – </w:t>
      </w:r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 ovoj funkciji ostvareno je 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70.068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>64</w:t>
      </w:r>
      <w:proofErr w:type="spellEnd"/>
      <w:r w:rsidRPr="00E96D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€ rashoda, a raspoređeno na obitelj i djeca, stanovanje, socijalna pomoć stanovništvu</w:t>
      </w:r>
    </w:p>
    <w:p w:rsidR="00E96D0B" w:rsidRPr="00E96D0B" w:rsidRDefault="00E96D0B" w:rsidP="00E96D0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15815" w:rsidRPr="00715815" w:rsidRDefault="00715815" w:rsidP="00715815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7158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IZVJEŠTAJ O PROMJENAMA U VRIJEDNOSTI I OBUJMU IMOVINE I OBVEZA</w:t>
      </w:r>
    </w:p>
    <w:p w:rsidR="00715815" w:rsidRPr="00715815" w:rsidRDefault="007735C0" w:rsidP="00715815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Tijekom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2024</w:t>
      </w:r>
      <w:proofErr w:type="spellEnd"/>
      <w:r w:rsidR="00715815"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godine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nije bilo evidentiranih promjena u vrijednosti i obujmu imovine i obveza.</w:t>
      </w:r>
    </w:p>
    <w:p w:rsidR="00715815" w:rsidRPr="00715815" w:rsidRDefault="00715815" w:rsidP="00715815">
      <w:pPr>
        <w:keepNext/>
        <w:suppressAutoHyphens w:val="0"/>
        <w:autoSpaceDN/>
        <w:spacing w:after="0" w:line="240" w:lineRule="auto"/>
        <w:jc w:val="both"/>
        <w:outlineLvl w:val="7"/>
        <w:rPr>
          <w:rFonts w:eastAsia="Times New Roman" w:cs="Calibri"/>
          <w:b/>
          <w:bCs/>
          <w:u w:val="single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735C0" w:rsidRPr="00505FD8" w:rsidRDefault="007735C0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A61FD" w:rsidRDefault="001A61FD" w:rsidP="00D17D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E4173" w:rsidRDefault="007735C0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U Vinici,27</w:t>
      </w:r>
      <w:r w:rsidR="00715815"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.02.2024. god.                                                          </w:t>
      </w:r>
    </w:p>
    <w:p w:rsidR="007E4173" w:rsidRDefault="007E4173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E4173" w:rsidRDefault="007E4173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15815" w:rsidRDefault="00715815" w:rsidP="007E4173">
      <w:pPr>
        <w:autoSpaceDN/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="007E4173">
        <w:rPr>
          <w:rFonts w:ascii="Times New Roman" w:eastAsia="Times New Roman" w:hAnsi="Times New Roman"/>
          <w:sz w:val="24"/>
          <w:szCs w:val="24"/>
          <w:lang w:eastAsia="zh-CN"/>
        </w:rPr>
        <w:t>Općinski načelnik</w:t>
      </w:r>
    </w:p>
    <w:p w:rsidR="007E4173" w:rsidRDefault="007E4173" w:rsidP="007E4173">
      <w:pPr>
        <w:autoSpaceDN/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dr.sc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 Branimir Štimec</w:t>
      </w:r>
    </w:p>
    <w:p w:rsidR="007E4173" w:rsidRDefault="007E4173" w:rsidP="007E4173">
      <w:pPr>
        <w:autoSpaceDN/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E4173" w:rsidRDefault="007E4173" w:rsidP="007E4173">
      <w:pPr>
        <w:autoSpaceDN/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osoba za kontakt:</w:t>
      </w:r>
    </w:p>
    <w:p w:rsidR="007E4173" w:rsidRDefault="007E4173" w:rsidP="007E4173">
      <w:pPr>
        <w:autoSpaceDN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Ljiljana Stokrajec 042/722-233</w:t>
      </w:r>
    </w:p>
    <w:p w:rsidR="007E4173" w:rsidRPr="00715815" w:rsidRDefault="007E4173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76C3B" w:rsidRPr="00715815" w:rsidRDefault="00715815" w:rsidP="00C76C3B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715815" w:rsidRPr="0071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F3" w:rsidRDefault="00C312F3" w:rsidP="00C561C4">
      <w:pPr>
        <w:spacing w:after="0" w:line="240" w:lineRule="auto"/>
      </w:pPr>
      <w:r>
        <w:separator/>
      </w:r>
    </w:p>
  </w:endnote>
  <w:endnote w:type="continuationSeparator" w:id="0">
    <w:p w:rsidR="00C312F3" w:rsidRDefault="00C312F3" w:rsidP="00C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F3" w:rsidRDefault="00C312F3" w:rsidP="00C561C4">
      <w:pPr>
        <w:spacing w:after="0" w:line="240" w:lineRule="auto"/>
      </w:pPr>
      <w:r>
        <w:separator/>
      </w:r>
    </w:p>
  </w:footnote>
  <w:footnote w:type="continuationSeparator" w:id="0">
    <w:p w:rsidR="00C312F3" w:rsidRDefault="00C312F3" w:rsidP="00C56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B"/>
    <w:multiLevelType w:val="hybridMultilevel"/>
    <w:tmpl w:val="A5762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4B7"/>
    <w:multiLevelType w:val="hybridMultilevel"/>
    <w:tmpl w:val="18B661BA"/>
    <w:lvl w:ilvl="0" w:tplc="DB2831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896D4A"/>
    <w:multiLevelType w:val="hybridMultilevel"/>
    <w:tmpl w:val="BCE4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8DD"/>
    <w:multiLevelType w:val="hybridMultilevel"/>
    <w:tmpl w:val="88302252"/>
    <w:lvl w:ilvl="0" w:tplc="A2F8A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12D9"/>
    <w:multiLevelType w:val="hybridMultilevel"/>
    <w:tmpl w:val="72ACAE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2D00"/>
    <w:multiLevelType w:val="hybridMultilevel"/>
    <w:tmpl w:val="10D6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E27AA"/>
    <w:multiLevelType w:val="hybridMultilevel"/>
    <w:tmpl w:val="12CEADB0"/>
    <w:lvl w:ilvl="0" w:tplc="FE36E7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80771"/>
    <w:multiLevelType w:val="hybridMultilevel"/>
    <w:tmpl w:val="AC7202AA"/>
    <w:lvl w:ilvl="0" w:tplc="041A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CD404A2"/>
    <w:multiLevelType w:val="hybridMultilevel"/>
    <w:tmpl w:val="EB826436"/>
    <w:lvl w:ilvl="0" w:tplc="041A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-3380" w:hanging="360"/>
      </w:pPr>
    </w:lvl>
    <w:lvl w:ilvl="2" w:tplc="041A001B">
      <w:start w:val="1"/>
      <w:numFmt w:val="lowerRoman"/>
      <w:lvlText w:val="%3."/>
      <w:lvlJc w:val="right"/>
      <w:pPr>
        <w:ind w:left="-2660" w:hanging="180"/>
      </w:pPr>
    </w:lvl>
    <w:lvl w:ilvl="3" w:tplc="041A000F">
      <w:start w:val="1"/>
      <w:numFmt w:val="decimal"/>
      <w:lvlText w:val="%4."/>
      <w:lvlJc w:val="left"/>
      <w:pPr>
        <w:ind w:left="-1940" w:hanging="360"/>
      </w:pPr>
    </w:lvl>
    <w:lvl w:ilvl="4" w:tplc="041A0019">
      <w:start w:val="1"/>
      <w:numFmt w:val="lowerLetter"/>
      <w:lvlText w:val="%5."/>
      <w:lvlJc w:val="left"/>
      <w:pPr>
        <w:ind w:left="-1220" w:hanging="360"/>
      </w:pPr>
    </w:lvl>
    <w:lvl w:ilvl="5" w:tplc="041A001B">
      <w:start w:val="1"/>
      <w:numFmt w:val="lowerRoman"/>
      <w:lvlText w:val="%6."/>
      <w:lvlJc w:val="right"/>
      <w:pPr>
        <w:ind w:left="-500" w:hanging="180"/>
      </w:pPr>
    </w:lvl>
    <w:lvl w:ilvl="6" w:tplc="041A000F">
      <w:start w:val="1"/>
      <w:numFmt w:val="decimal"/>
      <w:lvlText w:val="%7."/>
      <w:lvlJc w:val="left"/>
      <w:pPr>
        <w:ind w:left="220" w:hanging="360"/>
      </w:pPr>
    </w:lvl>
    <w:lvl w:ilvl="7" w:tplc="041A0019">
      <w:start w:val="1"/>
      <w:numFmt w:val="lowerLetter"/>
      <w:lvlText w:val="%8."/>
      <w:lvlJc w:val="left"/>
      <w:pPr>
        <w:ind w:left="940" w:hanging="360"/>
      </w:pPr>
    </w:lvl>
    <w:lvl w:ilvl="8" w:tplc="041A001B">
      <w:start w:val="1"/>
      <w:numFmt w:val="lowerRoman"/>
      <w:lvlText w:val="%9."/>
      <w:lvlJc w:val="right"/>
      <w:pPr>
        <w:ind w:left="1660" w:hanging="180"/>
      </w:pPr>
    </w:lvl>
  </w:abstractNum>
  <w:abstractNum w:abstractNumId="11">
    <w:nsid w:val="3A1630A1"/>
    <w:multiLevelType w:val="hybridMultilevel"/>
    <w:tmpl w:val="ABF4225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CB310B"/>
    <w:multiLevelType w:val="multilevel"/>
    <w:tmpl w:val="1FE6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E9D5A6D"/>
    <w:multiLevelType w:val="hybridMultilevel"/>
    <w:tmpl w:val="D86C6596"/>
    <w:lvl w:ilvl="0" w:tplc="C9EC1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2739A"/>
    <w:multiLevelType w:val="multilevel"/>
    <w:tmpl w:val="698EDC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6CC4C14"/>
    <w:multiLevelType w:val="hybridMultilevel"/>
    <w:tmpl w:val="CADA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69CA"/>
    <w:multiLevelType w:val="hybridMultilevel"/>
    <w:tmpl w:val="5A62B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E79F8"/>
    <w:multiLevelType w:val="hybridMultilevel"/>
    <w:tmpl w:val="E58A80E2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EA36EDD"/>
    <w:multiLevelType w:val="hybridMultilevel"/>
    <w:tmpl w:val="68E466D2"/>
    <w:lvl w:ilvl="0" w:tplc="E63E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71DC2"/>
    <w:multiLevelType w:val="hybridMultilevel"/>
    <w:tmpl w:val="C5CC9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1515"/>
    <w:multiLevelType w:val="hybridMultilevel"/>
    <w:tmpl w:val="AFA01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A1332"/>
    <w:multiLevelType w:val="hybridMultilevel"/>
    <w:tmpl w:val="18C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2269F"/>
    <w:multiLevelType w:val="hybridMultilevel"/>
    <w:tmpl w:val="ABFC8D0A"/>
    <w:lvl w:ilvl="0" w:tplc="60DC47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0"/>
  </w:num>
  <w:num w:numId="5">
    <w:abstractNumId w:val="21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19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22"/>
  </w:num>
  <w:num w:numId="19">
    <w:abstractNumId w:val="1"/>
  </w:num>
  <w:num w:numId="20">
    <w:abstractNumId w:val="8"/>
  </w:num>
  <w:num w:numId="21">
    <w:abstractNumId w:val="1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1"/>
    <w:rsid w:val="000003BF"/>
    <w:rsid w:val="0000094A"/>
    <w:rsid w:val="00004349"/>
    <w:rsid w:val="00007649"/>
    <w:rsid w:val="00007D3F"/>
    <w:rsid w:val="000161A9"/>
    <w:rsid w:val="00020381"/>
    <w:rsid w:val="00024FCA"/>
    <w:rsid w:val="000341D0"/>
    <w:rsid w:val="00041A65"/>
    <w:rsid w:val="000542DD"/>
    <w:rsid w:val="00066F70"/>
    <w:rsid w:val="00067C75"/>
    <w:rsid w:val="00083299"/>
    <w:rsid w:val="00086D4E"/>
    <w:rsid w:val="000879CB"/>
    <w:rsid w:val="00090AE5"/>
    <w:rsid w:val="00090DA8"/>
    <w:rsid w:val="00091782"/>
    <w:rsid w:val="000920B6"/>
    <w:rsid w:val="00092596"/>
    <w:rsid w:val="00094776"/>
    <w:rsid w:val="000A02D1"/>
    <w:rsid w:val="000A0EA7"/>
    <w:rsid w:val="000C052C"/>
    <w:rsid w:val="000C58BA"/>
    <w:rsid w:val="000C7CDD"/>
    <w:rsid w:val="000C7DDD"/>
    <w:rsid w:val="000D26DC"/>
    <w:rsid w:val="000D4B67"/>
    <w:rsid w:val="000E14AE"/>
    <w:rsid w:val="000E5D16"/>
    <w:rsid w:val="000F1266"/>
    <w:rsid w:val="000F2B88"/>
    <w:rsid w:val="000F5FE0"/>
    <w:rsid w:val="000F633E"/>
    <w:rsid w:val="000F6F57"/>
    <w:rsid w:val="00103805"/>
    <w:rsid w:val="00103DB2"/>
    <w:rsid w:val="00106C5F"/>
    <w:rsid w:val="00110E7E"/>
    <w:rsid w:val="001129BA"/>
    <w:rsid w:val="00116AF8"/>
    <w:rsid w:val="00122C9C"/>
    <w:rsid w:val="00122DE3"/>
    <w:rsid w:val="00127AA9"/>
    <w:rsid w:val="00131AAE"/>
    <w:rsid w:val="0013228D"/>
    <w:rsid w:val="00137F13"/>
    <w:rsid w:val="00141F8B"/>
    <w:rsid w:val="00144E5A"/>
    <w:rsid w:val="00164993"/>
    <w:rsid w:val="00166CCB"/>
    <w:rsid w:val="00175356"/>
    <w:rsid w:val="0017777A"/>
    <w:rsid w:val="00184727"/>
    <w:rsid w:val="00196AC7"/>
    <w:rsid w:val="001A0186"/>
    <w:rsid w:val="001A2E2C"/>
    <w:rsid w:val="001A497B"/>
    <w:rsid w:val="001A61FD"/>
    <w:rsid w:val="001A7E50"/>
    <w:rsid w:val="001B0C47"/>
    <w:rsid w:val="001B1C52"/>
    <w:rsid w:val="001B3543"/>
    <w:rsid w:val="001C4EAF"/>
    <w:rsid w:val="001C72BE"/>
    <w:rsid w:val="001D04FD"/>
    <w:rsid w:val="001D4E8A"/>
    <w:rsid w:val="001F1CA5"/>
    <w:rsid w:val="001F2082"/>
    <w:rsid w:val="001F27B0"/>
    <w:rsid w:val="001F301F"/>
    <w:rsid w:val="002178C7"/>
    <w:rsid w:val="00233046"/>
    <w:rsid w:val="00233C0F"/>
    <w:rsid w:val="002411AD"/>
    <w:rsid w:val="0024198B"/>
    <w:rsid w:val="00261E3C"/>
    <w:rsid w:val="00263927"/>
    <w:rsid w:val="00275FAF"/>
    <w:rsid w:val="0028270C"/>
    <w:rsid w:val="00287282"/>
    <w:rsid w:val="002909E7"/>
    <w:rsid w:val="00290A70"/>
    <w:rsid w:val="002935BA"/>
    <w:rsid w:val="002958A8"/>
    <w:rsid w:val="002A52FE"/>
    <w:rsid w:val="002B2152"/>
    <w:rsid w:val="002B3A2A"/>
    <w:rsid w:val="002B5D8C"/>
    <w:rsid w:val="002C38F9"/>
    <w:rsid w:val="002C7862"/>
    <w:rsid w:val="002D102E"/>
    <w:rsid w:val="002D1D66"/>
    <w:rsid w:val="002E3AC9"/>
    <w:rsid w:val="002E5511"/>
    <w:rsid w:val="002E680E"/>
    <w:rsid w:val="002F369D"/>
    <w:rsid w:val="00302628"/>
    <w:rsid w:val="003034A1"/>
    <w:rsid w:val="00310228"/>
    <w:rsid w:val="0031072E"/>
    <w:rsid w:val="003207B1"/>
    <w:rsid w:val="003218A8"/>
    <w:rsid w:val="0032642F"/>
    <w:rsid w:val="00326B28"/>
    <w:rsid w:val="00327B73"/>
    <w:rsid w:val="00330581"/>
    <w:rsid w:val="003378B4"/>
    <w:rsid w:val="00337C03"/>
    <w:rsid w:val="00346B8A"/>
    <w:rsid w:val="00350230"/>
    <w:rsid w:val="00355ABE"/>
    <w:rsid w:val="003663CC"/>
    <w:rsid w:val="0037039E"/>
    <w:rsid w:val="00372955"/>
    <w:rsid w:val="0037644C"/>
    <w:rsid w:val="00376B6E"/>
    <w:rsid w:val="00383191"/>
    <w:rsid w:val="00383987"/>
    <w:rsid w:val="00396C7D"/>
    <w:rsid w:val="003A2413"/>
    <w:rsid w:val="003B3438"/>
    <w:rsid w:val="003B3520"/>
    <w:rsid w:val="003B61EA"/>
    <w:rsid w:val="003C24A0"/>
    <w:rsid w:val="003C6FE1"/>
    <w:rsid w:val="003D380F"/>
    <w:rsid w:val="003E2151"/>
    <w:rsid w:val="003E294E"/>
    <w:rsid w:val="003E5ADD"/>
    <w:rsid w:val="003F5451"/>
    <w:rsid w:val="00406E85"/>
    <w:rsid w:val="00417582"/>
    <w:rsid w:val="004210E7"/>
    <w:rsid w:val="00421811"/>
    <w:rsid w:val="00425EA1"/>
    <w:rsid w:val="00426C9A"/>
    <w:rsid w:val="00426E3B"/>
    <w:rsid w:val="00430813"/>
    <w:rsid w:val="00430A89"/>
    <w:rsid w:val="00431371"/>
    <w:rsid w:val="00433F4D"/>
    <w:rsid w:val="00442F36"/>
    <w:rsid w:val="0044548C"/>
    <w:rsid w:val="0045770F"/>
    <w:rsid w:val="004602DD"/>
    <w:rsid w:val="0047074A"/>
    <w:rsid w:val="00473FBF"/>
    <w:rsid w:val="004741BC"/>
    <w:rsid w:val="0047429B"/>
    <w:rsid w:val="00476EEC"/>
    <w:rsid w:val="00481F8D"/>
    <w:rsid w:val="0048615F"/>
    <w:rsid w:val="00487B79"/>
    <w:rsid w:val="004A2830"/>
    <w:rsid w:val="004A627D"/>
    <w:rsid w:val="004B5724"/>
    <w:rsid w:val="004C2CE5"/>
    <w:rsid w:val="004D0A0B"/>
    <w:rsid w:val="004D432C"/>
    <w:rsid w:val="004E0CEE"/>
    <w:rsid w:val="0050199C"/>
    <w:rsid w:val="00502E34"/>
    <w:rsid w:val="00505FD8"/>
    <w:rsid w:val="005255D9"/>
    <w:rsid w:val="005304D3"/>
    <w:rsid w:val="005431C1"/>
    <w:rsid w:val="00547618"/>
    <w:rsid w:val="00553501"/>
    <w:rsid w:val="0055602F"/>
    <w:rsid w:val="00557B92"/>
    <w:rsid w:val="00565F53"/>
    <w:rsid w:val="00575823"/>
    <w:rsid w:val="005765AC"/>
    <w:rsid w:val="0058144F"/>
    <w:rsid w:val="0058444F"/>
    <w:rsid w:val="00586E5C"/>
    <w:rsid w:val="005875B7"/>
    <w:rsid w:val="005960B8"/>
    <w:rsid w:val="005A2395"/>
    <w:rsid w:val="005B0813"/>
    <w:rsid w:val="005B161C"/>
    <w:rsid w:val="005B2804"/>
    <w:rsid w:val="005C540A"/>
    <w:rsid w:val="005D2298"/>
    <w:rsid w:val="005D3346"/>
    <w:rsid w:val="005D5313"/>
    <w:rsid w:val="005E3CFC"/>
    <w:rsid w:val="005E4BE4"/>
    <w:rsid w:val="005F04F7"/>
    <w:rsid w:val="005F09EC"/>
    <w:rsid w:val="005F0B32"/>
    <w:rsid w:val="005F430D"/>
    <w:rsid w:val="005F67B6"/>
    <w:rsid w:val="006014AA"/>
    <w:rsid w:val="00601DAB"/>
    <w:rsid w:val="00606195"/>
    <w:rsid w:val="00610B48"/>
    <w:rsid w:val="00620208"/>
    <w:rsid w:val="0062040D"/>
    <w:rsid w:val="00624A0C"/>
    <w:rsid w:val="0062617A"/>
    <w:rsid w:val="006261B6"/>
    <w:rsid w:val="00627A3F"/>
    <w:rsid w:val="0063414C"/>
    <w:rsid w:val="00635055"/>
    <w:rsid w:val="00636B4C"/>
    <w:rsid w:val="006416AA"/>
    <w:rsid w:val="00641E70"/>
    <w:rsid w:val="00642FB1"/>
    <w:rsid w:val="006468C1"/>
    <w:rsid w:val="006475B7"/>
    <w:rsid w:val="006511AD"/>
    <w:rsid w:val="00653FD1"/>
    <w:rsid w:val="00654CC2"/>
    <w:rsid w:val="00657F3A"/>
    <w:rsid w:val="00664E3F"/>
    <w:rsid w:val="0066666E"/>
    <w:rsid w:val="00667DE0"/>
    <w:rsid w:val="00675C0F"/>
    <w:rsid w:val="00675FCC"/>
    <w:rsid w:val="00676AC7"/>
    <w:rsid w:val="006800FA"/>
    <w:rsid w:val="00685325"/>
    <w:rsid w:val="006A3F88"/>
    <w:rsid w:val="006B0AAB"/>
    <w:rsid w:val="006B6170"/>
    <w:rsid w:val="006B7F85"/>
    <w:rsid w:val="006C1B9C"/>
    <w:rsid w:val="006C2437"/>
    <w:rsid w:val="006C4747"/>
    <w:rsid w:val="006D5C03"/>
    <w:rsid w:val="006D78C8"/>
    <w:rsid w:val="006D7D5F"/>
    <w:rsid w:val="006E3D06"/>
    <w:rsid w:val="006F1EB3"/>
    <w:rsid w:val="006F528E"/>
    <w:rsid w:val="006F55B7"/>
    <w:rsid w:val="006F55BC"/>
    <w:rsid w:val="00702721"/>
    <w:rsid w:val="00703EE2"/>
    <w:rsid w:val="00710F10"/>
    <w:rsid w:val="00715815"/>
    <w:rsid w:val="0071627C"/>
    <w:rsid w:val="00722FAD"/>
    <w:rsid w:val="007265BD"/>
    <w:rsid w:val="00727005"/>
    <w:rsid w:val="00730028"/>
    <w:rsid w:val="007340EC"/>
    <w:rsid w:val="00742188"/>
    <w:rsid w:val="007478E0"/>
    <w:rsid w:val="00753FCD"/>
    <w:rsid w:val="007541E3"/>
    <w:rsid w:val="00761F45"/>
    <w:rsid w:val="007656D1"/>
    <w:rsid w:val="007709DB"/>
    <w:rsid w:val="00770DA8"/>
    <w:rsid w:val="007735C0"/>
    <w:rsid w:val="007772ED"/>
    <w:rsid w:val="00777738"/>
    <w:rsid w:val="007851A4"/>
    <w:rsid w:val="00786DBC"/>
    <w:rsid w:val="007877F4"/>
    <w:rsid w:val="00790FBC"/>
    <w:rsid w:val="007A3EC3"/>
    <w:rsid w:val="007A6471"/>
    <w:rsid w:val="007B071E"/>
    <w:rsid w:val="007C5FB3"/>
    <w:rsid w:val="007E31A4"/>
    <w:rsid w:val="007E4173"/>
    <w:rsid w:val="007E44E3"/>
    <w:rsid w:val="007F02BF"/>
    <w:rsid w:val="007F1FB1"/>
    <w:rsid w:val="007F5494"/>
    <w:rsid w:val="0080192F"/>
    <w:rsid w:val="008054B6"/>
    <w:rsid w:val="00814CC4"/>
    <w:rsid w:val="008164F0"/>
    <w:rsid w:val="008333FF"/>
    <w:rsid w:val="008347A3"/>
    <w:rsid w:val="00844D19"/>
    <w:rsid w:val="008559AD"/>
    <w:rsid w:val="00856AD7"/>
    <w:rsid w:val="00864B45"/>
    <w:rsid w:val="00874192"/>
    <w:rsid w:val="008749B6"/>
    <w:rsid w:val="00881860"/>
    <w:rsid w:val="008832B0"/>
    <w:rsid w:val="00884FFC"/>
    <w:rsid w:val="00885439"/>
    <w:rsid w:val="008916D7"/>
    <w:rsid w:val="008945F7"/>
    <w:rsid w:val="00895744"/>
    <w:rsid w:val="008A00F6"/>
    <w:rsid w:val="008A3440"/>
    <w:rsid w:val="008A3920"/>
    <w:rsid w:val="008B03C0"/>
    <w:rsid w:val="008B4661"/>
    <w:rsid w:val="008C4DE2"/>
    <w:rsid w:val="008C6E1E"/>
    <w:rsid w:val="008D70BD"/>
    <w:rsid w:val="008E0022"/>
    <w:rsid w:val="008E08CA"/>
    <w:rsid w:val="008E0955"/>
    <w:rsid w:val="008E637D"/>
    <w:rsid w:val="008E6CA5"/>
    <w:rsid w:val="008F0FCA"/>
    <w:rsid w:val="008F1147"/>
    <w:rsid w:val="009026E6"/>
    <w:rsid w:val="009044D7"/>
    <w:rsid w:val="00912629"/>
    <w:rsid w:val="00927B8B"/>
    <w:rsid w:val="00933007"/>
    <w:rsid w:val="009365C3"/>
    <w:rsid w:val="00940713"/>
    <w:rsid w:val="00942561"/>
    <w:rsid w:val="00943567"/>
    <w:rsid w:val="009436B9"/>
    <w:rsid w:val="00944DDB"/>
    <w:rsid w:val="0095177B"/>
    <w:rsid w:val="009523EA"/>
    <w:rsid w:val="00953EAB"/>
    <w:rsid w:val="009555E2"/>
    <w:rsid w:val="00955CA2"/>
    <w:rsid w:val="0096088D"/>
    <w:rsid w:val="00965370"/>
    <w:rsid w:val="0096547D"/>
    <w:rsid w:val="0096609D"/>
    <w:rsid w:val="009674DB"/>
    <w:rsid w:val="00970541"/>
    <w:rsid w:val="009727BB"/>
    <w:rsid w:val="0097282B"/>
    <w:rsid w:val="00974E26"/>
    <w:rsid w:val="00983E8F"/>
    <w:rsid w:val="0099756E"/>
    <w:rsid w:val="009B2081"/>
    <w:rsid w:val="009B7602"/>
    <w:rsid w:val="009D02CC"/>
    <w:rsid w:val="009D1EC0"/>
    <w:rsid w:val="009D245D"/>
    <w:rsid w:val="009D24F2"/>
    <w:rsid w:val="009D6E9B"/>
    <w:rsid w:val="009D6FE7"/>
    <w:rsid w:val="009F1E0E"/>
    <w:rsid w:val="00A0032C"/>
    <w:rsid w:val="00A070CD"/>
    <w:rsid w:val="00A17D85"/>
    <w:rsid w:val="00A27E5E"/>
    <w:rsid w:val="00A45513"/>
    <w:rsid w:val="00A50541"/>
    <w:rsid w:val="00A5073F"/>
    <w:rsid w:val="00A512C6"/>
    <w:rsid w:val="00A55922"/>
    <w:rsid w:val="00A60DD5"/>
    <w:rsid w:val="00A653C4"/>
    <w:rsid w:val="00A73AFF"/>
    <w:rsid w:val="00A75EDF"/>
    <w:rsid w:val="00A8780F"/>
    <w:rsid w:val="00A90041"/>
    <w:rsid w:val="00A93ACD"/>
    <w:rsid w:val="00A96A59"/>
    <w:rsid w:val="00AA0A1B"/>
    <w:rsid w:val="00AA0CBA"/>
    <w:rsid w:val="00AA2712"/>
    <w:rsid w:val="00AA3123"/>
    <w:rsid w:val="00AA3F2B"/>
    <w:rsid w:val="00AA7C80"/>
    <w:rsid w:val="00AB0CF5"/>
    <w:rsid w:val="00AB2A77"/>
    <w:rsid w:val="00AB3B6F"/>
    <w:rsid w:val="00AC2F13"/>
    <w:rsid w:val="00AC56C4"/>
    <w:rsid w:val="00AC7322"/>
    <w:rsid w:val="00AD2692"/>
    <w:rsid w:val="00AD36A4"/>
    <w:rsid w:val="00AD7591"/>
    <w:rsid w:val="00AD7609"/>
    <w:rsid w:val="00AE090B"/>
    <w:rsid w:val="00AE13DE"/>
    <w:rsid w:val="00AE2500"/>
    <w:rsid w:val="00AE4296"/>
    <w:rsid w:val="00AE5A3E"/>
    <w:rsid w:val="00AF3A56"/>
    <w:rsid w:val="00B11269"/>
    <w:rsid w:val="00B123A3"/>
    <w:rsid w:val="00B13164"/>
    <w:rsid w:val="00B1790B"/>
    <w:rsid w:val="00B224AA"/>
    <w:rsid w:val="00B36F57"/>
    <w:rsid w:val="00B41AF8"/>
    <w:rsid w:val="00B5607D"/>
    <w:rsid w:val="00B57CAD"/>
    <w:rsid w:val="00B614BE"/>
    <w:rsid w:val="00B61D44"/>
    <w:rsid w:val="00B80EF7"/>
    <w:rsid w:val="00B84365"/>
    <w:rsid w:val="00B85BE1"/>
    <w:rsid w:val="00B87610"/>
    <w:rsid w:val="00B9100E"/>
    <w:rsid w:val="00BA0ABE"/>
    <w:rsid w:val="00BA3375"/>
    <w:rsid w:val="00BB4846"/>
    <w:rsid w:val="00BC1F9E"/>
    <w:rsid w:val="00BD6102"/>
    <w:rsid w:val="00BE19EB"/>
    <w:rsid w:val="00BF66EC"/>
    <w:rsid w:val="00C00B50"/>
    <w:rsid w:val="00C02C7E"/>
    <w:rsid w:val="00C07C90"/>
    <w:rsid w:val="00C2525A"/>
    <w:rsid w:val="00C312F3"/>
    <w:rsid w:val="00C32D38"/>
    <w:rsid w:val="00C52709"/>
    <w:rsid w:val="00C561C4"/>
    <w:rsid w:val="00C5778F"/>
    <w:rsid w:val="00C57FC6"/>
    <w:rsid w:val="00C63D61"/>
    <w:rsid w:val="00C6483B"/>
    <w:rsid w:val="00C71EE4"/>
    <w:rsid w:val="00C76C3B"/>
    <w:rsid w:val="00C80789"/>
    <w:rsid w:val="00C861AC"/>
    <w:rsid w:val="00C9640C"/>
    <w:rsid w:val="00C96DBA"/>
    <w:rsid w:val="00CE190C"/>
    <w:rsid w:val="00CE3FC2"/>
    <w:rsid w:val="00CF4B42"/>
    <w:rsid w:val="00D016E7"/>
    <w:rsid w:val="00D01AAF"/>
    <w:rsid w:val="00D032B1"/>
    <w:rsid w:val="00D05352"/>
    <w:rsid w:val="00D0610A"/>
    <w:rsid w:val="00D06114"/>
    <w:rsid w:val="00D06C6D"/>
    <w:rsid w:val="00D11196"/>
    <w:rsid w:val="00D154F1"/>
    <w:rsid w:val="00D17D16"/>
    <w:rsid w:val="00D22EC0"/>
    <w:rsid w:val="00D34D4A"/>
    <w:rsid w:val="00D37E20"/>
    <w:rsid w:val="00D42D87"/>
    <w:rsid w:val="00D44CBA"/>
    <w:rsid w:val="00D515CA"/>
    <w:rsid w:val="00D51DE5"/>
    <w:rsid w:val="00D554E2"/>
    <w:rsid w:val="00D55B09"/>
    <w:rsid w:val="00D92603"/>
    <w:rsid w:val="00DA313A"/>
    <w:rsid w:val="00DA3DD0"/>
    <w:rsid w:val="00DA5BF5"/>
    <w:rsid w:val="00DB189A"/>
    <w:rsid w:val="00DB3834"/>
    <w:rsid w:val="00DB4E18"/>
    <w:rsid w:val="00DC23ED"/>
    <w:rsid w:val="00DE31DB"/>
    <w:rsid w:val="00DE569F"/>
    <w:rsid w:val="00DE5927"/>
    <w:rsid w:val="00DF34F0"/>
    <w:rsid w:val="00DF60CC"/>
    <w:rsid w:val="00E06837"/>
    <w:rsid w:val="00E078E5"/>
    <w:rsid w:val="00E13F90"/>
    <w:rsid w:val="00E171AB"/>
    <w:rsid w:val="00E224C3"/>
    <w:rsid w:val="00E25225"/>
    <w:rsid w:val="00E2563E"/>
    <w:rsid w:val="00E317F6"/>
    <w:rsid w:val="00E4402C"/>
    <w:rsid w:val="00E45C16"/>
    <w:rsid w:val="00E61FF2"/>
    <w:rsid w:val="00E646A2"/>
    <w:rsid w:val="00E66138"/>
    <w:rsid w:val="00E668F3"/>
    <w:rsid w:val="00E72944"/>
    <w:rsid w:val="00E83545"/>
    <w:rsid w:val="00E83BD4"/>
    <w:rsid w:val="00E87B03"/>
    <w:rsid w:val="00E917A6"/>
    <w:rsid w:val="00E96D0B"/>
    <w:rsid w:val="00E97F43"/>
    <w:rsid w:val="00EB02E1"/>
    <w:rsid w:val="00EB40B1"/>
    <w:rsid w:val="00EB7FD2"/>
    <w:rsid w:val="00EE1AFF"/>
    <w:rsid w:val="00EE1EC5"/>
    <w:rsid w:val="00EE6F5B"/>
    <w:rsid w:val="00F01F61"/>
    <w:rsid w:val="00F03270"/>
    <w:rsid w:val="00F1164C"/>
    <w:rsid w:val="00F1597E"/>
    <w:rsid w:val="00F16B15"/>
    <w:rsid w:val="00F2150F"/>
    <w:rsid w:val="00F21B53"/>
    <w:rsid w:val="00F268A7"/>
    <w:rsid w:val="00F332BE"/>
    <w:rsid w:val="00F37422"/>
    <w:rsid w:val="00F544D7"/>
    <w:rsid w:val="00F55CD8"/>
    <w:rsid w:val="00F61036"/>
    <w:rsid w:val="00F61D39"/>
    <w:rsid w:val="00F65912"/>
    <w:rsid w:val="00F6694E"/>
    <w:rsid w:val="00F76226"/>
    <w:rsid w:val="00F80FCD"/>
    <w:rsid w:val="00F822B1"/>
    <w:rsid w:val="00F82D3F"/>
    <w:rsid w:val="00F90203"/>
    <w:rsid w:val="00F91346"/>
    <w:rsid w:val="00F9415F"/>
    <w:rsid w:val="00F955FF"/>
    <w:rsid w:val="00FA1F8B"/>
    <w:rsid w:val="00FA482F"/>
    <w:rsid w:val="00FA4A09"/>
    <w:rsid w:val="00FB05BB"/>
    <w:rsid w:val="00FB2C1D"/>
    <w:rsid w:val="00FB2C62"/>
    <w:rsid w:val="00FB7E6D"/>
    <w:rsid w:val="00FC01D2"/>
    <w:rsid w:val="00FD0188"/>
    <w:rsid w:val="00FF0F7A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703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03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03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03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039E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6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44C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1C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1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703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03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03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03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039E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6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44C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1C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1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c/c9/Coat_of_arms_of_Croatia.svg/580px-Coat_of_arms_of_Croatia.svg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2400-BA09-42DF-B607-5CC4C8D3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Windows korisnik</cp:lastModifiedBy>
  <cp:revision>3</cp:revision>
  <cp:lastPrinted>2025-02-27T12:40:00Z</cp:lastPrinted>
  <dcterms:created xsi:type="dcterms:W3CDTF">2025-02-27T14:04:00Z</dcterms:created>
  <dcterms:modified xsi:type="dcterms:W3CDTF">2025-02-28T06:38:00Z</dcterms:modified>
</cp:coreProperties>
</file>