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9616d376124544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31286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OPĆINA VINICA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22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III 2026.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790.407,16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674.101,68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85,3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291.022,43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321.531,78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110,5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POSLOVANJA (šifre 6-Z005)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499.384,73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352.569,90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70,6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1.012,54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19,8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143.889,70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34.629,58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24,1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142.877,16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34.429,58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24,1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I PRIMITAKA (šifre X678-Y345)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356.507,57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318.140,32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89,2</w:t>
            </w:r>
          </w:p>
        </w:tc>
      </w:tr>
    </w:tbl>
    <w:p>
      <w:pPr>
        <w:spacing w:before="0" w:after="0"/>
      </w:pPr>
    </w:p>
    <w:p>
      <w:r>
        <w:t xml:space="preserve">U izvještajnom razdoblju ostvareni su prihodi poslovanja u iznosu od 674.101,68 Eur i rashodi poslovanja u iznosu od 321.531,78 Eur, čime je ostvaren višak prihoda poslovanja u iznosu od 352.569,90 Eur.</w:t>
      </w:r>
    </w:p>
    <w:p>
      <w:r>
        <w:t xml:space="preserve">Prihodi od prodaje nefinancijske imovine ostvareni su iznosu od 200,00 Eur, a rashodi za nabavu nefinancijske imovine u iznosu od 34.629,58 Eur, a ostvaren je rezultat manjak prihoda od nefinancijske imovine u iznosu od 34.429,58 Eur.</w:t>
      </w:r>
    </w:p>
    <w:p>
      <w:r>
        <w:t xml:space="preserve">Slijedom navedenog ostvaren je ukupni višak prihoda i primitaka u iznosu od 318.140,32 Eur.</w:t>
      </w:r>
    </w:p>
    <w:p>
      <w:r>
        <w:t xml:space="preserve">Višak prihoda iz prethodnih godina iznosi 82.583,06 Eur, te  sveukupni višak prihoda i primitaka raspoloživ u slijedećem razdoblju iznosi 400.723,38 Eur.</w:t>
      </w:r>
    </w:p>
    <w:p>
      <w:r>
        <w:t xml:space="preserve"> 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poreza (šifre 611+612+613+614+615+616)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394.104,69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472.942,57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120,0</w:t>
            </w:r>
          </w:p>
        </w:tc>
      </w:tr>
    </w:tbl>
    <w:p>
      <w:pPr>
        <w:spacing w:before="0" w:after="0"/>
      </w:pPr>
    </w:p>
    <w:p>
      <w:r>
        <w:t xml:space="preserve">U odnosu na usporedno razdoblje Općina Vinica je ostvarila veće prihode od poreza na dohodak. Razlog za ovo povećanje uglavnom je radi povećanja plaća u svim sektorima. Za ostale prihode od poreza nije bilo značajnih odstupanja u odnosu na uporedno razdoblje.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pomoći proračunu i izvanproračunskim korisnicima iz drugih proračuna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8.791,60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36.211,85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411,9</w:t>
            </w:r>
          </w:p>
        </w:tc>
      </w:tr>
    </w:tbl>
    <w:p>
      <w:pPr>
        <w:spacing w:before="0" w:after="0"/>
      </w:pPr>
    </w:p>
    <w:p>
      <w:r>
        <w:t xml:space="preserve">Prihodi od tekućih pomoći proračunu iz drugih proračuna odnose se sredstva za fiskalnu održivost dječjih vrtića i prihode od projekta Zaželi u kojem je Općina Vinica partner s Općinom Bednjom. U odnosu na usporedno razdoblje prihodi su veći jer  prethodne godine nisu na ovoj skupini iskazana sredstva fiskalne održivosti dječjih vrtića. (bila su iskazana na skupini 635 )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Kapitalne pomoći proračunu i izvanproračunskim korisnicima iz drugih proračuna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226.180,00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41.374,00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18,3</w:t>
            </w:r>
          </w:p>
        </w:tc>
      </w:tr>
    </w:tbl>
    <w:p>
      <w:pPr>
        <w:spacing w:before="0" w:after="0"/>
      </w:pPr>
    </w:p>
    <w:p>
      <w:r>
        <w:t xml:space="preserve">U ovom izvještajnom razdoblju primljena su sredstva za kapitalni projekt uređenja dječjeg igrališta na SC Vinica, a koji je u potpunosti realiziran 2025. godine, međutim su sredstva po ZNS-u primljena u ovom razdoblju.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6353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Pomoći fiskalnog izravnanja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6353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119.680,35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94.972,56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79,4</w:t>
            </w:r>
          </w:p>
        </w:tc>
      </w:tr>
    </w:tbl>
    <w:p>
      <w:pPr>
        <w:spacing w:before="0" w:after="0"/>
      </w:pPr>
    </w:p>
    <w:p>
      <w:r>
        <w:t xml:space="preserve">Razlika u odnosu na izvještajno razdoblje odnosi se na promjenu u iskazivanju podataka, naime prethodne  su godine u istom izvještajnom razdoblju u ovoj skupini iskazana sredstva i za fiskalnu održivost dječjih vrtića i za fiskalno izravnanje, a ove godine iskazani iznos odnosi se samo na fiskalno izravnanje.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zakupa i iznajmljivanja imovine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5.369,55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12.104,03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225,4</w:t>
            </w:r>
          </w:p>
        </w:tc>
      </w:tr>
    </w:tbl>
    <w:p>
      <w:pPr>
        <w:spacing w:before="0" w:after="0"/>
      </w:pPr>
    </w:p>
    <w:p>
      <w:r>
        <w:t xml:space="preserve">Ova vrsta prihoda odnosi se na naplaćena sredstva po izlaznim računima za zakup i najam temeljem Ugovora. Razlika se odnosi na uplatu sredstava za godišnji najam obveznika Croatia osiguranje d.d. (u prethodnoj godini plaćanje kasnije)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zaposlene (šifre 311+312+313)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50.696,42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81.618,78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161,0</w:t>
            </w:r>
          </w:p>
        </w:tc>
      </w:tr>
    </w:tbl>
    <w:p>
      <w:pPr>
        <w:spacing w:before="0" w:after="0"/>
      </w:pPr>
    </w:p>
    <w:p>
      <w:r>
        <w:t xml:space="preserve">Rashodi za zaposlene povećali su se radi povećanja koeficijenata i povećanja osnovice za obračun plaća službenika i namještenika.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Materijalni rashodi (šifre 321+322+323+324+325+329)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124.840,80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102.584,29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82,2</w:t>
            </w:r>
          </w:p>
        </w:tc>
      </w:tr>
    </w:tbl>
    <w:p>
      <w:pPr>
        <w:spacing w:before="0" w:after="0"/>
      </w:pPr>
    </w:p>
    <w:p>
      <w:r>
        <w:t xml:space="preserve">Razlike u odnosu na usporedno razdoblje odnose se na povećanje cijena energenata, intelektualnih usluga i sl. Također,  rashodi za usluge ostvareni su u manjem obimu u odnosu na usporedno razdoblje, osobito usluge izrade tehničkih rješenja, kao i  investicijskog održavanja  (čišćenje kanala i graba).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pomoći proračunskim korisnicima drugih proračuna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4.786,63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9.005,73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188,1</w:t>
            </w:r>
          </w:p>
        </w:tc>
      </w:tr>
    </w:tbl>
    <w:p>
      <w:pPr>
        <w:spacing w:before="0" w:after="0"/>
      </w:pPr>
    </w:p>
    <w:p>
      <w:r>
        <w:t xml:space="preserve">Odnosi se na rashode za sufin plaće učiteljice za produženi boravak u OŠ Vinica, kao i sredstva po odobrenom Zahtjevu ( prošle godine manje zahtjeva)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1.012,54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19,8</w:t>
            </w:r>
          </w:p>
        </w:tc>
      </w:tr>
    </w:tbl>
    <w:p>
      <w:pPr>
        <w:spacing w:before="0" w:after="0"/>
      </w:pPr>
    </w:p>
    <w:p>
      <w:r>
        <w:t xml:space="preserve">U odnosu na proteklo razdoblje ovi su prihodi ostvareni u manjem iznosu radi činjenice da su neki stanovi u potpunosti otplaćeni tijekom 2025. godine, a za manji broj kupaca stanova je potrebno utvrditi točno stanje dugovanja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143.889,70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34.629,58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24,1</w:t>
            </w:r>
          </w:p>
        </w:tc>
      </w:tr>
    </w:tbl>
    <w:p>
      <w:pPr>
        <w:spacing w:before="0" w:after="0"/>
      </w:pPr>
    </w:p>
    <w:p>
      <w:r>
        <w:t xml:space="preserve">U odnosu na usporedno razdoblje ovi su rashodi manji radi dinamike realizacije određenih projekata (planirano u nadolazećem razdoblju). 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167.806,02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Od ukupno iskazanih dospjelih obveza iznos od 164.557,50 Eur se odnosi na račun dobavljača Hudek trgotrans d.o.o. , a vezano za realizaciju projekta Izgradnja, obnova, održavanje i rekonstrukcija sportskih građevina, a koji će se podmiriti sukladno uvjetima iz  Ugovora. Ostali iznos odnosi se na obveze utvrđene uskladom s dobavljačima te će se podmiriti u nadolazećem razdoblju.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nedospjelih obveza na kraju izvještajnog razdoblja (šifre V010 + ND23 + ND24 + 'ND dio 25,26' + ND27)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90.222,79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Navedeni iznos nedospjelih obveza uglavnom se odnosi na obveze za plaće, obveze proračuna za naplaćena sredstva proračunskog korisnika i račune dobavljača koji nisu u dospjeću.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14.</w:t>
      </w:r>
    </w:p>
    <w:p>
      <w:pPr>
        <w:jc w:val="both"/>
        <w:pStyle w:val="Normal"/>
        <w:spacing w:line="240" w:lineRule="auto"/>
      </w:pPr>
      <w:r>
        <w:rPr>
          <w:b/>
          <w:sz w:val="24"/>
          <w:rFonts w:ascii="Times New Roman" w:hAnsi="Times New Roman"/>
        </w:rPr>
        <w:t xml:space="preserve">EU izvještaj</w:t>
      </w:r>
    </w:p>
    <w:p>
      <w:r>
        <w:t xml:space="preserve">Iskazani rashodi od 6.600,00 Eur odnose se na realizaciju projekta Prostorni plan nove genaracije putem elektroničkog sustava e-planovi. Za navedeni projekt i izvanbilančnim zapisima iskazane su preuzete obveze po bespovratnim sredstvima iz EU fondova u iznosu od 33.000,00 Eur.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c9a1dfd48d44f68" /></Relationships>
</file>